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1668"/>
        <w:gridCol w:w="7512"/>
      </w:tblGrid>
      <w:tr w:rsidR="00087CF4" w:rsidRPr="002A2B2C" w:rsidTr="00B04FAC">
        <w:tc>
          <w:tcPr>
            <w:tcW w:w="1668" w:type="dxa"/>
            <w:tcBorders>
              <w:top w:val="single" w:sz="4" w:space="0" w:color="auto"/>
              <w:bottom w:val="single" w:sz="4" w:space="0" w:color="auto"/>
            </w:tcBorders>
          </w:tcPr>
          <w:p w:rsidR="00087CF4" w:rsidRPr="003D7127" w:rsidRDefault="00087CF4" w:rsidP="003D7127">
            <w:pPr>
              <w:widowControl w:val="0"/>
              <w:autoSpaceDE w:val="0"/>
              <w:autoSpaceDN w:val="0"/>
              <w:spacing w:after="0" w:line="240" w:lineRule="auto"/>
              <w:rPr>
                <w:rFonts w:ascii="Times New Roman" w:hAnsi="Times New Roman"/>
                <w:sz w:val="24"/>
                <w:szCs w:val="24"/>
                <w:lang w:eastAsia="sl-SI"/>
              </w:rPr>
            </w:pPr>
            <w:r w:rsidRPr="002A2B2C">
              <w:rPr>
                <w:rFonts w:ascii="Times New Roman" w:hAnsi="Times New Roman"/>
                <w:noProof/>
                <w:sz w:val="14"/>
                <w:szCs w:val="14"/>
                <w:lang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1" o:spid="_x0000_i1025" type="#_x0000_t75" alt="grb150web" style="width:67.5pt;height:82.5pt;visibility:visible">
                  <v:imagedata r:id="rId7" o:title=""/>
                </v:shape>
              </w:pict>
            </w:r>
          </w:p>
        </w:tc>
        <w:tc>
          <w:tcPr>
            <w:tcW w:w="7512" w:type="dxa"/>
            <w:tcBorders>
              <w:top w:val="single" w:sz="4" w:space="0" w:color="auto"/>
              <w:bottom w:val="single" w:sz="4" w:space="0" w:color="auto"/>
            </w:tcBorders>
          </w:tcPr>
          <w:p w:rsidR="00087CF4" w:rsidRPr="003D7127" w:rsidRDefault="00087CF4" w:rsidP="003D7127">
            <w:pPr>
              <w:widowControl w:val="0"/>
              <w:autoSpaceDE w:val="0"/>
              <w:autoSpaceDN w:val="0"/>
              <w:spacing w:after="0" w:line="240" w:lineRule="auto"/>
              <w:rPr>
                <w:rFonts w:ascii="Times New Roman" w:hAnsi="Times New Roman"/>
                <w:b/>
                <w:sz w:val="24"/>
                <w:szCs w:val="24"/>
                <w:lang w:eastAsia="sl-SI"/>
              </w:rPr>
            </w:pPr>
            <w:r w:rsidRPr="003D7127">
              <w:rPr>
                <w:rFonts w:ascii="Times New Roman" w:hAnsi="Times New Roman"/>
                <w:b/>
                <w:sz w:val="24"/>
                <w:szCs w:val="24"/>
                <w:lang w:eastAsia="sl-SI"/>
              </w:rPr>
              <w:t>Občina ČRNA NA KOROŠKEM</w:t>
            </w:r>
          </w:p>
          <w:p w:rsidR="00087CF4" w:rsidRPr="003D7127" w:rsidRDefault="00087CF4" w:rsidP="003D7127">
            <w:pPr>
              <w:widowControl w:val="0"/>
              <w:autoSpaceDE w:val="0"/>
              <w:autoSpaceDN w:val="0"/>
              <w:spacing w:after="0" w:line="240" w:lineRule="auto"/>
              <w:rPr>
                <w:rFonts w:ascii="Times New Roman" w:hAnsi="Times New Roman"/>
                <w:b/>
                <w:sz w:val="24"/>
                <w:szCs w:val="24"/>
                <w:lang w:eastAsia="sl-SI"/>
              </w:rPr>
            </w:pPr>
            <w:r w:rsidRPr="003D7127">
              <w:rPr>
                <w:rFonts w:ascii="Times New Roman" w:hAnsi="Times New Roman"/>
                <w:b/>
                <w:sz w:val="24"/>
                <w:szCs w:val="24"/>
                <w:lang w:eastAsia="sl-SI"/>
              </w:rPr>
              <w:t>Center 101</w:t>
            </w:r>
          </w:p>
          <w:p w:rsidR="00087CF4" w:rsidRPr="003D7127" w:rsidRDefault="00087CF4" w:rsidP="003D7127">
            <w:pPr>
              <w:widowControl w:val="0"/>
              <w:autoSpaceDE w:val="0"/>
              <w:autoSpaceDN w:val="0"/>
              <w:spacing w:after="0" w:line="240" w:lineRule="auto"/>
              <w:rPr>
                <w:rFonts w:ascii="Times New Roman" w:hAnsi="Times New Roman"/>
                <w:b/>
                <w:sz w:val="24"/>
                <w:szCs w:val="24"/>
                <w:lang w:eastAsia="sl-SI"/>
              </w:rPr>
            </w:pPr>
            <w:r w:rsidRPr="003D7127">
              <w:rPr>
                <w:rFonts w:ascii="Times New Roman" w:hAnsi="Times New Roman"/>
                <w:b/>
                <w:sz w:val="24"/>
                <w:szCs w:val="24"/>
                <w:lang w:eastAsia="sl-SI"/>
              </w:rPr>
              <w:t>2393 ČRNA NA KOROŠKEM</w:t>
            </w:r>
          </w:p>
          <w:p w:rsidR="00087CF4" w:rsidRPr="003D7127" w:rsidRDefault="00087CF4" w:rsidP="003D7127">
            <w:pPr>
              <w:widowControl w:val="0"/>
              <w:autoSpaceDE w:val="0"/>
              <w:autoSpaceDN w:val="0"/>
              <w:spacing w:after="0" w:line="240" w:lineRule="auto"/>
              <w:rPr>
                <w:rFonts w:ascii="Times New Roman" w:hAnsi="Times New Roman"/>
                <w:sz w:val="24"/>
                <w:szCs w:val="24"/>
                <w:lang w:eastAsia="sl-SI"/>
              </w:rPr>
            </w:pPr>
            <w:r w:rsidRPr="003D7127">
              <w:rPr>
                <w:rFonts w:ascii="Times New Roman" w:hAnsi="Times New Roman"/>
                <w:sz w:val="24"/>
                <w:szCs w:val="24"/>
                <w:lang w:eastAsia="sl-SI"/>
              </w:rPr>
              <w:t>Telefon: 02 870 48 10</w:t>
            </w:r>
          </w:p>
          <w:p w:rsidR="00087CF4" w:rsidRPr="003D7127" w:rsidRDefault="00087CF4" w:rsidP="003D7127">
            <w:pPr>
              <w:widowControl w:val="0"/>
              <w:autoSpaceDE w:val="0"/>
              <w:autoSpaceDN w:val="0"/>
              <w:spacing w:after="0" w:line="240" w:lineRule="auto"/>
              <w:rPr>
                <w:rFonts w:ascii="Times New Roman" w:hAnsi="Times New Roman"/>
                <w:sz w:val="24"/>
                <w:szCs w:val="24"/>
                <w:lang w:eastAsia="sl-SI"/>
              </w:rPr>
            </w:pPr>
            <w:r w:rsidRPr="003D7127">
              <w:rPr>
                <w:rFonts w:ascii="Times New Roman" w:hAnsi="Times New Roman"/>
                <w:sz w:val="24"/>
                <w:szCs w:val="24"/>
                <w:lang w:eastAsia="sl-SI"/>
              </w:rPr>
              <w:t>Fax:       02 870 48 21</w:t>
            </w:r>
          </w:p>
          <w:p w:rsidR="00087CF4" w:rsidRPr="003D7127" w:rsidRDefault="00087CF4" w:rsidP="003D7127">
            <w:pPr>
              <w:widowControl w:val="0"/>
              <w:autoSpaceDE w:val="0"/>
              <w:autoSpaceDN w:val="0"/>
              <w:spacing w:after="0" w:line="240" w:lineRule="auto"/>
              <w:rPr>
                <w:rFonts w:ascii="Times New Roman" w:hAnsi="Times New Roman"/>
                <w:sz w:val="24"/>
                <w:szCs w:val="24"/>
                <w:lang w:eastAsia="sl-SI"/>
              </w:rPr>
            </w:pPr>
            <w:r w:rsidRPr="003D7127">
              <w:rPr>
                <w:rFonts w:ascii="Times New Roman" w:hAnsi="Times New Roman"/>
                <w:sz w:val="24"/>
                <w:szCs w:val="24"/>
                <w:lang w:eastAsia="sl-SI"/>
              </w:rPr>
              <w:t>e-mail:   obcina@crna.si</w:t>
            </w:r>
          </w:p>
        </w:tc>
      </w:tr>
    </w:tbl>
    <w:p w:rsidR="00087CF4" w:rsidRDefault="00087CF4" w:rsidP="00295557"/>
    <w:p w:rsidR="00087CF4" w:rsidRDefault="00087CF4" w:rsidP="00295557">
      <w:r>
        <w:t>Na</w:t>
      </w:r>
      <w:r w:rsidRPr="005200C3">
        <w:t xml:space="preserve"> osnovi 5. člena Uredbe o metodologiji za oblikovanje cen storitev obveznih občinskih gospodarskih javnih služb varstva okolja (Uradni list RS št. 87/2012, 109/2012) </w:t>
      </w:r>
      <w:r>
        <w:t>i</w:t>
      </w:r>
      <w:r w:rsidRPr="005200C3">
        <w:t xml:space="preserve">n 17. člena Statuta Občine </w:t>
      </w:r>
      <w:r>
        <w:t xml:space="preserve">Črna na Koroškem </w:t>
      </w:r>
      <w:r w:rsidRPr="005200C3">
        <w:t xml:space="preserve">(Ur. l. RS št. </w:t>
      </w:r>
      <w:r>
        <w:t>10/06, 101/07, 79/12</w:t>
      </w:r>
      <w:r w:rsidRPr="005200C3">
        <w:t xml:space="preserve">) </w:t>
      </w:r>
      <w:r>
        <w:t xml:space="preserve">je občinska uprava Občine Črna na Koroškem pripravila </w:t>
      </w:r>
    </w:p>
    <w:p w:rsidR="00087CF4" w:rsidRDefault="00087CF4" w:rsidP="00295557"/>
    <w:p w:rsidR="00087CF4" w:rsidRDefault="00087CF4" w:rsidP="00295557"/>
    <w:p w:rsidR="00087CF4" w:rsidRDefault="00087CF4" w:rsidP="00021468">
      <w:pPr>
        <w:pStyle w:val="Title"/>
        <w:jc w:val="center"/>
        <w:rPr>
          <w:rStyle w:val="Strong"/>
          <w:sz w:val="48"/>
        </w:rPr>
      </w:pPr>
      <w:r w:rsidRPr="00295557">
        <w:rPr>
          <w:rStyle w:val="Strong"/>
          <w:sz w:val="48"/>
        </w:rPr>
        <w:t xml:space="preserve">ELABORAT O OBLIKOVANJU CEN IZVAJANJA STORITEV OBVEZNE OBČINSKE GOSPODARSKE JAVNE SLUŽBE </w:t>
      </w:r>
      <w:r>
        <w:rPr>
          <w:rStyle w:val="Strong"/>
          <w:sz w:val="48"/>
        </w:rPr>
        <w:t>ČIŠČENJE KOMUNALNE ODPADNE VODE</w:t>
      </w:r>
      <w:r w:rsidRPr="00295557">
        <w:rPr>
          <w:rStyle w:val="Strong"/>
          <w:sz w:val="48"/>
        </w:rPr>
        <w:t xml:space="preserve"> </w:t>
      </w:r>
      <w:r>
        <w:rPr>
          <w:rStyle w:val="Strong"/>
          <w:sz w:val="48"/>
        </w:rPr>
        <w:t>2016</w:t>
      </w:r>
    </w:p>
    <w:p w:rsidR="00087CF4" w:rsidRDefault="00087CF4" w:rsidP="00295557">
      <w:pPr>
        <w:pStyle w:val="Title"/>
        <w:jc w:val="center"/>
      </w:pPr>
      <w:r w:rsidRPr="00295557">
        <w:t>za območje</w:t>
      </w:r>
    </w:p>
    <w:p w:rsidR="00087CF4" w:rsidRPr="00295557" w:rsidRDefault="00087CF4" w:rsidP="00295557">
      <w:pPr>
        <w:pStyle w:val="Title"/>
        <w:jc w:val="center"/>
      </w:pPr>
      <w:r w:rsidRPr="00295557">
        <w:t xml:space="preserve">Občine </w:t>
      </w:r>
      <w:r>
        <w:t>Črna na Koroškem</w:t>
      </w:r>
    </w:p>
    <w:p w:rsidR="00087CF4" w:rsidRDefault="00087CF4" w:rsidP="00295557"/>
    <w:p w:rsidR="00087CF4" w:rsidRDefault="00087CF4" w:rsidP="00295557">
      <w:pPr>
        <w:jc w:val="center"/>
      </w:pPr>
    </w:p>
    <w:p w:rsidR="00087CF4" w:rsidRPr="00710870" w:rsidRDefault="00087CF4" w:rsidP="00295557">
      <w:pPr>
        <w:rPr>
          <w:b/>
        </w:rPr>
      </w:pPr>
      <w:r w:rsidRPr="00710870">
        <w:rPr>
          <w:b/>
        </w:rPr>
        <w:t xml:space="preserve">Pripravili: </w:t>
      </w:r>
    </w:p>
    <w:p w:rsidR="00087CF4" w:rsidRPr="003D785A" w:rsidRDefault="00087CF4" w:rsidP="00295557">
      <w:pPr>
        <w:contextualSpacing/>
      </w:pPr>
      <w:r>
        <w:t>Mojca Dimnik, višja svetovalka za komunalno in cestno dejavnost</w:t>
      </w:r>
    </w:p>
    <w:p w:rsidR="00087CF4" w:rsidRDefault="00087CF4" w:rsidP="00295557">
      <w:pPr>
        <w:contextualSpacing/>
      </w:pPr>
      <w:r>
        <w:t>Rozalija Proje, finančnik</w:t>
      </w:r>
    </w:p>
    <w:p w:rsidR="00087CF4" w:rsidRDefault="00087CF4" w:rsidP="00295557">
      <w:pPr>
        <w:contextualSpacing/>
      </w:pPr>
      <w:r>
        <w:t>Jasmina Omerovič, knjigovodja</w:t>
      </w:r>
    </w:p>
    <w:p w:rsidR="00087CF4" w:rsidRDefault="00087CF4" w:rsidP="00295557">
      <w:pPr>
        <w:rPr>
          <w:b/>
        </w:rPr>
      </w:pPr>
    </w:p>
    <w:p w:rsidR="00087CF4" w:rsidRPr="00710870" w:rsidRDefault="00087CF4" w:rsidP="00295557">
      <w:pPr>
        <w:rPr>
          <w:b/>
        </w:rPr>
      </w:pPr>
      <w:r w:rsidRPr="00710870">
        <w:rPr>
          <w:b/>
        </w:rPr>
        <w:t>Pregledala:</w:t>
      </w:r>
    </w:p>
    <w:p w:rsidR="00087CF4" w:rsidRDefault="00087CF4" w:rsidP="00295557">
      <w:pPr>
        <w:contextualSpacing/>
      </w:pPr>
      <w:r>
        <w:t>Irena Nagernik, tajnica občinske uprave</w:t>
      </w:r>
    </w:p>
    <w:p w:rsidR="00087CF4" w:rsidRDefault="00087CF4" w:rsidP="00295557">
      <w:pPr>
        <w:contextualSpacing/>
      </w:pPr>
      <w:r>
        <w:t>mag. Romana Lesjak, županja</w:t>
      </w:r>
    </w:p>
    <w:p w:rsidR="00087CF4" w:rsidRDefault="00087CF4">
      <w:pPr>
        <w:jc w:val="left"/>
        <w:rPr>
          <w:b/>
        </w:rPr>
      </w:pPr>
    </w:p>
    <w:p w:rsidR="00087CF4" w:rsidRDefault="00087CF4">
      <w:pPr>
        <w:jc w:val="left"/>
      </w:pPr>
      <w:r w:rsidRPr="000A2B83">
        <w:rPr>
          <w:b/>
        </w:rPr>
        <w:t>Datum:</w:t>
      </w:r>
      <w:r>
        <w:rPr>
          <w:b/>
        </w:rPr>
        <w:t xml:space="preserve"> </w:t>
      </w:r>
      <w:r>
        <w:t>december</w:t>
      </w:r>
      <w:r w:rsidRPr="00B04FAC">
        <w:t xml:space="preserve"> </w:t>
      </w:r>
      <w:r>
        <w:t>2016</w:t>
      </w:r>
      <w:r>
        <w:br w:type="page"/>
      </w:r>
    </w:p>
    <w:p w:rsidR="00087CF4" w:rsidRDefault="00087CF4" w:rsidP="00295557"/>
    <w:p w:rsidR="00087CF4" w:rsidRDefault="00087CF4">
      <w:pPr>
        <w:pStyle w:val="TOCHeading"/>
      </w:pPr>
      <w:r>
        <w:t>Vsebina</w:t>
      </w:r>
    </w:p>
    <w:p w:rsidR="00087CF4" w:rsidRDefault="00087CF4">
      <w:pPr>
        <w:pStyle w:val="TOC1"/>
        <w:tabs>
          <w:tab w:val="left" w:pos="440"/>
          <w:tab w:val="right" w:leader="dot" w:pos="9062"/>
        </w:tabs>
        <w:rPr>
          <w:noProof/>
        </w:rPr>
      </w:pPr>
      <w:r>
        <w:fldChar w:fldCharType="begin"/>
      </w:r>
      <w:r>
        <w:instrText xml:space="preserve"> TOC \o "1-3" \h \z \u </w:instrText>
      </w:r>
      <w:r>
        <w:fldChar w:fldCharType="separate"/>
      </w:r>
      <w:hyperlink w:anchor="_Toc416257810" w:history="1">
        <w:r w:rsidRPr="006044B8">
          <w:rPr>
            <w:rStyle w:val="Hyperlink"/>
            <w:noProof/>
          </w:rPr>
          <w:t>1.</w:t>
        </w:r>
        <w:r>
          <w:rPr>
            <w:noProof/>
          </w:rPr>
          <w:tab/>
        </w:r>
        <w:r w:rsidRPr="006044B8">
          <w:rPr>
            <w:rStyle w:val="Hyperlink"/>
            <w:noProof/>
          </w:rPr>
          <w:t>Uvod</w:t>
        </w:r>
        <w:r>
          <w:rPr>
            <w:noProof/>
            <w:webHidden/>
          </w:rPr>
          <w:tab/>
        </w:r>
        <w:r>
          <w:rPr>
            <w:noProof/>
            <w:webHidden/>
          </w:rPr>
          <w:fldChar w:fldCharType="begin"/>
        </w:r>
        <w:r>
          <w:rPr>
            <w:noProof/>
            <w:webHidden/>
          </w:rPr>
          <w:instrText xml:space="preserve"> PAGEREF _Toc416257810 \h </w:instrText>
        </w:r>
        <w:r>
          <w:rPr>
            <w:noProof/>
            <w:webHidden/>
          </w:rPr>
        </w:r>
        <w:r>
          <w:rPr>
            <w:noProof/>
            <w:webHidden/>
          </w:rPr>
          <w:fldChar w:fldCharType="separate"/>
        </w:r>
        <w:r>
          <w:rPr>
            <w:noProof/>
            <w:webHidden/>
          </w:rPr>
          <w:t>4</w:t>
        </w:r>
        <w:r>
          <w:rPr>
            <w:noProof/>
            <w:webHidden/>
          </w:rPr>
          <w:fldChar w:fldCharType="end"/>
        </w:r>
      </w:hyperlink>
    </w:p>
    <w:p w:rsidR="00087CF4" w:rsidRDefault="00087CF4">
      <w:pPr>
        <w:pStyle w:val="TOC2"/>
        <w:tabs>
          <w:tab w:val="left" w:pos="880"/>
          <w:tab w:val="right" w:leader="dot" w:pos="9062"/>
        </w:tabs>
        <w:rPr>
          <w:noProof/>
        </w:rPr>
      </w:pPr>
      <w:hyperlink w:anchor="_Toc416257811" w:history="1">
        <w:r w:rsidRPr="006044B8">
          <w:rPr>
            <w:rStyle w:val="Hyperlink"/>
            <w:noProof/>
          </w:rPr>
          <w:t>1.1.</w:t>
        </w:r>
        <w:r>
          <w:rPr>
            <w:noProof/>
          </w:rPr>
          <w:tab/>
        </w:r>
        <w:r w:rsidRPr="006044B8">
          <w:rPr>
            <w:rStyle w:val="Hyperlink"/>
            <w:noProof/>
          </w:rPr>
          <w:t>Pravne podlage</w:t>
        </w:r>
        <w:r>
          <w:rPr>
            <w:noProof/>
            <w:webHidden/>
          </w:rPr>
          <w:tab/>
        </w:r>
        <w:r>
          <w:rPr>
            <w:noProof/>
            <w:webHidden/>
          </w:rPr>
          <w:fldChar w:fldCharType="begin"/>
        </w:r>
        <w:r>
          <w:rPr>
            <w:noProof/>
            <w:webHidden/>
          </w:rPr>
          <w:instrText xml:space="preserve"> PAGEREF _Toc416257811 \h </w:instrText>
        </w:r>
        <w:r>
          <w:rPr>
            <w:noProof/>
            <w:webHidden/>
          </w:rPr>
        </w:r>
        <w:r>
          <w:rPr>
            <w:noProof/>
            <w:webHidden/>
          </w:rPr>
          <w:fldChar w:fldCharType="separate"/>
        </w:r>
        <w:r>
          <w:rPr>
            <w:noProof/>
            <w:webHidden/>
          </w:rPr>
          <w:t>4</w:t>
        </w:r>
        <w:r>
          <w:rPr>
            <w:noProof/>
            <w:webHidden/>
          </w:rPr>
          <w:fldChar w:fldCharType="end"/>
        </w:r>
      </w:hyperlink>
    </w:p>
    <w:p w:rsidR="00087CF4" w:rsidRDefault="00087CF4">
      <w:pPr>
        <w:pStyle w:val="TOC2"/>
        <w:tabs>
          <w:tab w:val="left" w:pos="880"/>
          <w:tab w:val="right" w:leader="dot" w:pos="9062"/>
        </w:tabs>
        <w:rPr>
          <w:noProof/>
        </w:rPr>
      </w:pPr>
      <w:hyperlink w:anchor="_Toc416257812" w:history="1">
        <w:r w:rsidRPr="006044B8">
          <w:rPr>
            <w:rStyle w:val="Hyperlink"/>
            <w:noProof/>
          </w:rPr>
          <w:t>1.2.</w:t>
        </w:r>
        <w:r>
          <w:rPr>
            <w:noProof/>
          </w:rPr>
          <w:tab/>
        </w:r>
        <w:r w:rsidRPr="006044B8">
          <w:rPr>
            <w:rStyle w:val="Hyperlink"/>
            <w:noProof/>
          </w:rPr>
          <w:t>Javna gospod</w:t>
        </w:r>
        <w:r>
          <w:rPr>
            <w:rStyle w:val="Hyperlink"/>
            <w:noProof/>
          </w:rPr>
          <w:t>arska služba čiščenje komunalne odpadne vode</w:t>
        </w:r>
        <w:r>
          <w:rPr>
            <w:noProof/>
            <w:webHidden/>
          </w:rPr>
          <w:tab/>
        </w:r>
        <w:r>
          <w:rPr>
            <w:noProof/>
            <w:webHidden/>
          </w:rPr>
          <w:fldChar w:fldCharType="begin"/>
        </w:r>
        <w:r>
          <w:rPr>
            <w:noProof/>
            <w:webHidden/>
          </w:rPr>
          <w:instrText xml:space="preserve"> PAGEREF _Toc416257812 \h </w:instrText>
        </w:r>
        <w:r>
          <w:rPr>
            <w:noProof/>
            <w:webHidden/>
          </w:rPr>
        </w:r>
        <w:r>
          <w:rPr>
            <w:noProof/>
            <w:webHidden/>
          </w:rPr>
          <w:fldChar w:fldCharType="separate"/>
        </w:r>
        <w:r>
          <w:rPr>
            <w:noProof/>
            <w:webHidden/>
          </w:rPr>
          <w:t>4</w:t>
        </w:r>
        <w:r>
          <w:rPr>
            <w:noProof/>
            <w:webHidden/>
          </w:rPr>
          <w:fldChar w:fldCharType="end"/>
        </w:r>
      </w:hyperlink>
    </w:p>
    <w:p w:rsidR="00087CF4" w:rsidRDefault="00087CF4">
      <w:pPr>
        <w:pStyle w:val="TOC1"/>
        <w:tabs>
          <w:tab w:val="left" w:pos="440"/>
          <w:tab w:val="right" w:leader="dot" w:pos="9062"/>
        </w:tabs>
        <w:rPr>
          <w:noProof/>
        </w:rPr>
      </w:pPr>
      <w:hyperlink w:anchor="_Toc416257813" w:history="1">
        <w:r w:rsidRPr="006044B8">
          <w:rPr>
            <w:rStyle w:val="Hyperlink"/>
            <w:noProof/>
          </w:rPr>
          <w:t>2.</w:t>
        </w:r>
        <w:r>
          <w:rPr>
            <w:noProof/>
          </w:rPr>
          <w:tab/>
        </w:r>
        <w:r w:rsidRPr="006044B8">
          <w:rPr>
            <w:rStyle w:val="Hyperlink"/>
            <w:noProof/>
          </w:rPr>
          <w:t>Elementi elaborata</w:t>
        </w:r>
        <w:r>
          <w:rPr>
            <w:noProof/>
            <w:webHidden/>
          </w:rPr>
          <w:tab/>
        </w:r>
        <w:r>
          <w:rPr>
            <w:noProof/>
            <w:webHidden/>
          </w:rPr>
          <w:fldChar w:fldCharType="begin"/>
        </w:r>
        <w:r>
          <w:rPr>
            <w:noProof/>
            <w:webHidden/>
          </w:rPr>
          <w:instrText xml:space="preserve"> PAGEREF _Toc416257813 \h </w:instrText>
        </w:r>
        <w:r>
          <w:rPr>
            <w:noProof/>
            <w:webHidden/>
          </w:rPr>
        </w:r>
        <w:r>
          <w:rPr>
            <w:noProof/>
            <w:webHidden/>
          </w:rPr>
          <w:fldChar w:fldCharType="separate"/>
        </w:r>
        <w:r>
          <w:rPr>
            <w:noProof/>
            <w:webHidden/>
          </w:rPr>
          <w:t>5</w:t>
        </w:r>
        <w:r>
          <w:rPr>
            <w:noProof/>
            <w:webHidden/>
          </w:rPr>
          <w:fldChar w:fldCharType="end"/>
        </w:r>
      </w:hyperlink>
    </w:p>
    <w:p w:rsidR="00087CF4" w:rsidRDefault="00087CF4">
      <w:pPr>
        <w:pStyle w:val="TOC2"/>
        <w:tabs>
          <w:tab w:val="left" w:pos="880"/>
          <w:tab w:val="right" w:leader="dot" w:pos="9062"/>
        </w:tabs>
        <w:rPr>
          <w:noProof/>
        </w:rPr>
      </w:pPr>
      <w:hyperlink w:anchor="_Toc416257814" w:history="1">
        <w:r w:rsidRPr="006044B8">
          <w:rPr>
            <w:rStyle w:val="Hyperlink"/>
            <w:noProof/>
          </w:rPr>
          <w:t>2.1.</w:t>
        </w:r>
        <w:r>
          <w:rPr>
            <w:noProof/>
          </w:rPr>
          <w:tab/>
        </w:r>
        <w:r w:rsidRPr="006044B8">
          <w:rPr>
            <w:rStyle w:val="Hyperlink"/>
            <w:noProof/>
          </w:rPr>
          <w:t>Predračunska in obračunska količina opravljenih storitev javne službe za preteklo obračunsko obdobje</w:t>
        </w:r>
        <w:r>
          <w:rPr>
            <w:noProof/>
            <w:webHidden/>
          </w:rPr>
          <w:tab/>
        </w:r>
        <w:r>
          <w:rPr>
            <w:noProof/>
            <w:webHidden/>
          </w:rPr>
          <w:fldChar w:fldCharType="begin"/>
        </w:r>
        <w:r>
          <w:rPr>
            <w:noProof/>
            <w:webHidden/>
          </w:rPr>
          <w:instrText xml:space="preserve"> PAGEREF _Toc416257814 \h </w:instrText>
        </w:r>
        <w:r>
          <w:rPr>
            <w:noProof/>
            <w:webHidden/>
          </w:rPr>
        </w:r>
        <w:r>
          <w:rPr>
            <w:noProof/>
            <w:webHidden/>
          </w:rPr>
          <w:fldChar w:fldCharType="separate"/>
        </w:r>
        <w:r>
          <w:rPr>
            <w:noProof/>
            <w:webHidden/>
          </w:rPr>
          <w:t>5</w:t>
        </w:r>
        <w:r>
          <w:rPr>
            <w:noProof/>
            <w:webHidden/>
          </w:rPr>
          <w:fldChar w:fldCharType="end"/>
        </w:r>
      </w:hyperlink>
    </w:p>
    <w:p w:rsidR="00087CF4" w:rsidRDefault="00087CF4">
      <w:pPr>
        <w:pStyle w:val="TOC2"/>
        <w:tabs>
          <w:tab w:val="left" w:pos="880"/>
          <w:tab w:val="right" w:leader="dot" w:pos="9062"/>
        </w:tabs>
        <w:rPr>
          <w:noProof/>
        </w:rPr>
      </w:pPr>
      <w:hyperlink w:anchor="_Toc416257815" w:history="1">
        <w:r w:rsidRPr="006044B8">
          <w:rPr>
            <w:rStyle w:val="Hyperlink"/>
            <w:noProof/>
          </w:rPr>
          <w:t>2.2.</w:t>
        </w:r>
        <w:r>
          <w:rPr>
            <w:noProof/>
          </w:rPr>
          <w:tab/>
        </w:r>
        <w:r w:rsidRPr="006044B8">
          <w:rPr>
            <w:rStyle w:val="Hyperlink"/>
            <w:noProof/>
          </w:rPr>
          <w:t>Predračunski in obračunski stroški izvajanja storitev posamezne javne službe za preteklo obračunsko obdobje</w:t>
        </w:r>
        <w:r>
          <w:rPr>
            <w:noProof/>
            <w:webHidden/>
          </w:rPr>
          <w:tab/>
        </w:r>
        <w:r>
          <w:rPr>
            <w:noProof/>
            <w:webHidden/>
          </w:rPr>
          <w:fldChar w:fldCharType="begin"/>
        </w:r>
        <w:r>
          <w:rPr>
            <w:noProof/>
            <w:webHidden/>
          </w:rPr>
          <w:instrText xml:space="preserve"> PAGEREF _Toc416257815 \h </w:instrText>
        </w:r>
        <w:r>
          <w:rPr>
            <w:noProof/>
            <w:webHidden/>
          </w:rPr>
        </w:r>
        <w:r>
          <w:rPr>
            <w:noProof/>
            <w:webHidden/>
          </w:rPr>
          <w:fldChar w:fldCharType="separate"/>
        </w:r>
        <w:r>
          <w:rPr>
            <w:noProof/>
            <w:webHidden/>
          </w:rPr>
          <w:t>6</w:t>
        </w:r>
        <w:r>
          <w:rPr>
            <w:noProof/>
            <w:webHidden/>
          </w:rPr>
          <w:fldChar w:fldCharType="end"/>
        </w:r>
      </w:hyperlink>
    </w:p>
    <w:p w:rsidR="00087CF4" w:rsidRDefault="00087CF4">
      <w:pPr>
        <w:pStyle w:val="TOC2"/>
        <w:tabs>
          <w:tab w:val="left" w:pos="880"/>
          <w:tab w:val="right" w:leader="dot" w:pos="9062"/>
        </w:tabs>
        <w:rPr>
          <w:noProof/>
        </w:rPr>
      </w:pPr>
      <w:hyperlink w:anchor="_Toc416257816" w:history="1">
        <w:r w:rsidRPr="006044B8">
          <w:rPr>
            <w:rStyle w:val="Hyperlink"/>
            <w:noProof/>
          </w:rPr>
          <w:t>2.3.</w:t>
        </w:r>
        <w:r>
          <w:rPr>
            <w:noProof/>
          </w:rPr>
          <w:tab/>
        </w:r>
        <w:r w:rsidRPr="006044B8">
          <w:rPr>
            <w:rStyle w:val="Hyperlink"/>
            <w:noProof/>
          </w:rPr>
          <w:t>Pojasnila odmikov obračunske cene od predračunske in od potrjene cene storitev posamezne javne službe</w:t>
        </w:r>
        <w:r>
          <w:rPr>
            <w:noProof/>
            <w:webHidden/>
          </w:rPr>
          <w:tab/>
        </w:r>
        <w:r>
          <w:rPr>
            <w:noProof/>
            <w:webHidden/>
          </w:rPr>
          <w:fldChar w:fldCharType="begin"/>
        </w:r>
        <w:r>
          <w:rPr>
            <w:noProof/>
            <w:webHidden/>
          </w:rPr>
          <w:instrText xml:space="preserve"> PAGEREF _Toc416257816 \h </w:instrText>
        </w:r>
        <w:r>
          <w:rPr>
            <w:noProof/>
            <w:webHidden/>
          </w:rPr>
        </w:r>
        <w:r>
          <w:rPr>
            <w:noProof/>
            <w:webHidden/>
          </w:rPr>
          <w:fldChar w:fldCharType="separate"/>
        </w:r>
        <w:r>
          <w:rPr>
            <w:noProof/>
            <w:webHidden/>
          </w:rPr>
          <w:t>7</w:t>
        </w:r>
        <w:r>
          <w:rPr>
            <w:noProof/>
            <w:webHidden/>
          </w:rPr>
          <w:fldChar w:fldCharType="end"/>
        </w:r>
      </w:hyperlink>
    </w:p>
    <w:p w:rsidR="00087CF4" w:rsidRDefault="00087CF4">
      <w:pPr>
        <w:pStyle w:val="TOC2"/>
        <w:tabs>
          <w:tab w:val="left" w:pos="880"/>
          <w:tab w:val="right" w:leader="dot" w:pos="9062"/>
        </w:tabs>
        <w:rPr>
          <w:noProof/>
        </w:rPr>
      </w:pPr>
      <w:hyperlink w:anchor="_Toc416257817" w:history="1">
        <w:r w:rsidRPr="006044B8">
          <w:rPr>
            <w:rStyle w:val="Hyperlink"/>
            <w:noProof/>
          </w:rPr>
          <w:t>2.4.</w:t>
        </w:r>
        <w:r>
          <w:rPr>
            <w:noProof/>
          </w:rPr>
          <w:tab/>
        </w:r>
        <w:r w:rsidRPr="006044B8">
          <w:rPr>
            <w:rStyle w:val="Hyperlink"/>
            <w:noProof/>
          </w:rPr>
          <w:t>Primerjava obračunskih cen posamezne javne službe, za katero se oblikuje cena, z obračunskimi cenami storitev javne službe na primerljivih območjih</w:t>
        </w:r>
        <w:r>
          <w:rPr>
            <w:noProof/>
            <w:webHidden/>
          </w:rPr>
          <w:tab/>
        </w:r>
        <w:r>
          <w:rPr>
            <w:noProof/>
            <w:webHidden/>
          </w:rPr>
          <w:fldChar w:fldCharType="begin"/>
        </w:r>
        <w:r>
          <w:rPr>
            <w:noProof/>
            <w:webHidden/>
          </w:rPr>
          <w:instrText xml:space="preserve"> PAGEREF _Toc416257817 \h </w:instrText>
        </w:r>
        <w:r>
          <w:rPr>
            <w:noProof/>
            <w:webHidden/>
          </w:rPr>
        </w:r>
        <w:r>
          <w:rPr>
            <w:noProof/>
            <w:webHidden/>
          </w:rPr>
          <w:fldChar w:fldCharType="separate"/>
        </w:r>
        <w:r>
          <w:rPr>
            <w:noProof/>
            <w:webHidden/>
          </w:rPr>
          <w:t>8</w:t>
        </w:r>
        <w:r>
          <w:rPr>
            <w:noProof/>
            <w:webHidden/>
          </w:rPr>
          <w:fldChar w:fldCharType="end"/>
        </w:r>
      </w:hyperlink>
    </w:p>
    <w:p w:rsidR="00087CF4" w:rsidRDefault="00087CF4">
      <w:pPr>
        <w:pStyle w:val="TOC2"/>
        <w:tabs>
          <w:tab w:val="left" w:pos="880"/>
          <w:tab w:val="right" w:leader="dot" w:pos="9062"/>
        </w:tabs>
        <w:rPr>
          <w:noProof/>
        </w:rPr>
      </w:pPr>
      <w:hyperlink w:anchor="_Toc416257818" w:history="1">
        <w:r w:rsidRPr="006044B8">
          <w:rPr>
            <w:rStyle w:val="Hyperlink"/>
            <w:noProof/>
          </w:rPr>
          <w:t>2.5.</w:t>
        </w:r>
        <w:r>
          <w:rPr>
            <w:noProof/>
          </w:rPr>
          <w:tab/>
        </w:r>
        <w:r w:rsidRPr="006044B8">
          <w:rPr>
            <w:rStyle w:val="Hyperlink"/>
            <w:noProof/>
          </w:rPr>
          <w:t>Primerjava potrjenih cen posamezne javne službe, za katero se oblikuje cena, s potrjenimi cenami storitev javne službe na primerljivih območjih</w:t>
        </w:r>
        <w:r>
          <w:rPr>
            <w:noProof/>
            <w:webHidden/>
          </w:rPr>
          <w:tab/>
        </w:r>
        <w:r>
          <w:rPr>
            <w:noProof/>
            <w:webHidden/>
          </w:rPr>
          <w:fldChar w:fldCharType="begin"/>
        </w:r>
        <w:r>
          <w:rPr>
            <w:noProof/>
            <w:webHidden/>
          </w:rPr>
          <w:instrText xml:space="preserve"> PAGEREF _Toc416257818 \h </w:instrText>
        </w:r>
        <w:r>
          <w:rPr>
            <w:noProof/>
            <w:webHidden/>
          </w:rPr>
        </w:r>
        <w:r>
          <w:rPr>
            <w:noProof/>
            <w:webHidden/>
          </w:rPr>
          <w:fldChar w:fldCharType="separate"/>
        </w:r>
        <w:r>
          <w:rPr>
            <w:noProof/>
            <w:webHidden/>
          </w:rPr>
          <w:t>8</w:t>
        </w:r>
        <w:r>
          <w:rPr>
            <w:noProof/>
            <w:webHidden/>
          </w:rPr>
          <w:fldChar w:fldCharType="end"/>
        </w:r>
      </w:hyperlink>
    </w:p>
    <w:p w:rsidR="00087CF4" w:rsidRDefault="00087CF4">
      <w:pPr>
        <w:pStyle w:val="TOC2"/>
        <w:tabs>
          <w:tab w:val="left" w:pos="880"/>
          <w:tab w:val="right" w:leader="dot" w:pos="9062"/>
        </w:tabs>
        <w:rPr>
          <w:noProof/>
        </w:rPr>
      </w:pPr>
      <w:hyperlink w:anchor="_Toc416257819" w:history="1">
        <w:r w:rsidRPr="006044B8">
          <w:rPr>
            <w:rStyle w:val="Hyperlink"/>
            <w:noProof/>
          </w:rPr>
          <w:t>2.6.</w:t>
        </w:r>
        <w:r>
          <w:rPr>
            <w:noProof/>
          </w:rPr>
          <w:tab/>
        </w:r>
        <w:r w:rsidRPr="006044B8">
          <w:rPr>
            <w:rStyle w:val="Hyperlink"/>
            <w:noProof/>
          </w:rPr>
          <w:t>Primerjava obračunske cene javne infrastrukture javne službe, za katero se oblikuje cena, s primerljivimi območji</w:t>
        </w:r>
        <w:r>
          <w:rPr>
            <w:noProof/>
            <w:webHidden/>
          </w:rPr>
          <w:tab/>
        </w:r>
        <w:r>
          <w:rPr>
            <w:noProof/>
            <w:webHidden/>
          </w:rPr>
          <w:fldChar w:fldCharType="begin"/>
        </w:r>
        <w:r>
          <w:rPr>
            <w:noProof/>
            <w:webHidden/>
          </w:rPr>
          <w:instrText xml:space="preserve"> PAGEREF _Toc416257819 \h </w:instrText>
        </w:r>
        <w:r>
          <w:rPr>
            <w:noProof/>
            <w:webHidden/>
          </w:rPr>
        </w:r>
        <w:r>
          <w:rPr>
            <w:noProof/>
            <w:webHidden/>
          </w:rPr>
          <w:fldChar w:fldCharType="separate"/>
        </w:r>
        <w:r>
          <w:rPr>
            <w:noProof/>
            <w:webHidden/>
          </w:rPr>
          <w:t>8</w:t>
        </w:r>
        <w:r>
          <w:rPr>
            <w:noProof/>
            <w:webHidden/>
          </w:rPr>
          <w:fldChar w:fldCharType="end"/>
        </w:r>
      </w:hyperlink>
    </w:p>
    <w:p w:rsidR="00087CF4" w:rsidRDefault="00087CF4">
      <w:pPr>
        <w:pStyle w:val="TOC2"/>
        <w:tabs>
          <w:tab w:val="left" w:pos="880"/>
          <w:tab w:val="right" w:leader="dot" w:pos="9062"/>
        </w:tabs>
        <w:rPr>
          <w:noProof/>
        </w:rPr>
      </w:pPr>
      <w:hyperlink w:anchor="_Toc416257820" w:history="1">
        <w:r w:rsidRPr="006044B8">
          <w:rPr>
            <w:rStyle w:val="Hyperlink"/>
            <w:noProof/>
          </w:rPr>
          <w:t>2.7.</w:t>
        </w:r>
        <w:r>
          <w:rPr>
            <w:noProof/>
          </w:rPr>
          <w:tab/>
        </w:r>
        <w:r w:rsidRPr="006044B8">
          <w:rPr>
            <w:rStyle w:val="Hyperlink"/>
            <w:noProof/>
          </w:rPr>
          <w:t>Predračunska količina opravljenih storitev javne službe za leto 2013</w:t>
        </w:r>
        <w:r>
          <w:rPr>
            <w:noProof/>
            <w:webHidden/>
          </w:rPr>
          <w:tab/>
        </w:r>
        <w:r>
          <w:rPr>
            <w:noProof/>
            <w:webHidden/>
          </w:rPr>
          <w:fldChar w:fldCharType="begin"/>
        </w:r>
        <w:r>
          <w:rPr>
            <w:noProof/>
            <w:webHidden/>
          </w:rPr>
          <w:instrText xml:space="preserve"> PAGEREF _Toc416257820 \h </w:instrText>
        </w:r>
        <w:r>
          <w:rPr>
            <w:noProof/>
            <w:webHidden/>
          </w:rPr>
        </w:r>
        <w:r>
          <w:rPr>
            <w:noProof/>
            <w:webHidden/>
          </w:rPr>
          <w:fldChar w:fldCharType="separate"/>
        </w:r>
        <w:r>
          <w:rPr>
            <w:noProof/>
            <w:webHidden/>
          </w:rPr>
          <w:t>8</w:t>
        </w:r>
        <w:r>
          <w:rPr>
            <w:noProof/>
            <w:webHidden/>
          </w:rPr>
          <w:fldChar w:fldCharType="end"/>
        </w:r>
      </w:hyperlink>
    </w:p>
    <w:p w:rsidR="00087CF4" w:rsidRDefault="00087CF4">
      <w:pPr>
        <w:pStyle w:val="TOC2"/>
        <w:tabs>
          <w:tab w:val="left" w:pos="880"/>
          <w:tab w:val="right" w:leader="dot" w:pos="9062"/>
        </w:tabs>
        <w:rPr>
          <w:noProof/>
        </w:rPr>
      </w:pPr>
      <w:hyperlink w:anchor="_Toc416257821" w:history="1">
        <w:r w:rsidRPr="006044B8">
          <w:rPr>
            <w:rStyle w:val="Hyperlink"/>
            <w:noProof/>
          </w:rPr>
          <w:t>2.8.</w:t>
        </w:r>
        <w:r>
          <w:rPr>
            <w:noProof/>
          </w:rPr>
          <w:tab/>
        </w:r>
        <w:r w:rsidRPr="006044B8">
          <w:rPr>
            <w:rStyle w:val="Hyperlink"/>
            <w:noProof/>
          </w:rPr>
          <w:t xml:space="preserve">Predračunski stroški izvajanja storitev javne službe za leto </w:t>
        </w:r>
        <w:r>
          <w:rPr>
            <w:rStyle w:val="Hyperlink"/>
            <w:noProof/>
          </w:rPr>
          <w:t>2016</w:t>
        </w:r>
        <w:r>
          <w:rPr>
            <w:noProof/>
            <w:webHidden/>
          </w:rPr>
          <w:tab/>
        </w:r>
        <w:r>
          <w:rPr>
            <w:noProof/>
            <w:webHidden/>
          </w:rPr>
          <w:fldChar w:fldCharType="begin"/>
        </w:r>
        <w:r>
          <w:rPr>
            <w:noProof/>
            <w:webHidden/>
          </w:rPr>
          <w:instrText xml:space="preserve"> PAGEREF _Toc416257821 \h </w:instrText>
        </w:r>
        <w:r>
          <w:rPr>
            <w:noProof/>
            <w:webHidden/>
          </w:rPr>
        </w:r>
        <w:r>
          <w:rPr>
            <w:noProof/>
            <w:webHidden/>
          </w:rPr>
          <w:fldChar w:fldCharType="separate"/>
        </w:r>
        <w:r>
          <w:rPr>
            <w:noProof/>
            <w:webHidden/>
          </w:rPr>
          <w:t>8</w:t>
        </w:r>
        <w:r>
          <w:rPr>
            <w:noProof/>
            <w:webHidden/>
          </w:rPr>
          <w:fldChar w:fldCharType="end"/>
        </w:r>
      </w:hyperlink>
    </w:p>
    <w:p w:rsidR="00087CF4" w:rsidRDefault="00087CF4">
      <w:pPr>
        <w:pStyle w:val="TOC2"/>
        <w:tabs>
          <w:tab w:val="left" w:pos="880"/>
          <w:tab w:val="right" w:leader="dot" w:pos="9062"/>
        </w:tabs>
        <w:rPr>
          <w:noProof/>
        </w:rPr>
      </w:pPr>
      <w:hyperlink w:anchor="_Toc416257822" w:history="1">
        <w:r w:rsidRPr="006044B8">
          <w:rPr>
            <w:rStyle w:val="Hyperlink"/>
            <w:noProof/>
          </w:rPr>
          <w:t>2.9.</w:t>
        </w:r>
        <w:r>
          <w:rPr>
            <w:noProof/>
          </w:rPr>
          <w:tab/>
        </w:r>
        <w:r w:rsidRPr="006044B8">
          <w:rPr>
            <w:rStyle w:val="Hyperlink"/>
            <w:noProof/>
          </w:rPr>
          <w:t>Obseg poslovno potrebnih osnovnih sredstev za izvajanje storitev javne službe za preteklo in prihodnje obračunsko obdobje</w:t>
        </w:r>
        <w:r>
          <w:rPr>
            <w:noProof/>
            <w:webHidden/>
          </w:rPr>
          <w:tab/>
        </w:r>
        <w:r>
          <w:rPr>
            <w:noProof/>
            <w:webHidden/>
          </w:rPr>
          <w:fldChar w:fldCharType="begin"/>
        </w:r>
        <w:r>
          <w:rPr>
            <w:noProof/>
            <w:webHidden/>
          </w:rPr>
          <w:instrText xml:space="preserve"> PAGEREF _Toc416257822 \h </w:instrText>
        </w:r>
        <w:r>
          <w:rPr>
            <w:noProof/>
            <w:webHidden/>
          </w:rPr>
        </w:r>
        <w:r>
          <w:rPr>
            <w:noProof/>
            <w:webHidden/>
          </w:rPr>
          <w:fldChar w:fldCharType="separate"/>
        </w:r>
        <w:r>
          <w:rPr>
            <w:noProof/>
            <w:webHidden/>
          </w:rPr>
          <w:t>8</w:t>
        </w:r>
        <w:r>
          <w:rPr>
            <w:noProof/>
            <w:webHidden/>
          </w:rPr>
          <w:fldChar w:fldCharType="end"/>
        </w:r>
      </w:hyperlink>
    </w:p>
    <w:p w:rsidR="00087CF4" w:rsidRDefault="00087CF4">
      <w:pPr>
        <w:pStyle w:val="TOC2"/>
        <w:tabs>
          <w:tab w:val="left" w:pos="1100"/>
          <w:tab w:val="right" w:leader="dot" w:pos="9062"/>
        </w:tabs>
        <w:rPr>
          <w:noProof/>
        </w:rPr>
      </w:pPr>
      <w:hyperlink w:anchor="_Toc416257823" w:history="1">
        <w:r w:rsidRPr="006044B8">
          <w:rPr>
            <w:rStyle w:val="Hyperlink"/>
            <w:noProof/>
          </w:rPr>
          <w:t>2.10.</w:t>
        </w:r>
        <w:r>
          <w:rPr>
            <w:noProof/>
          </w:rPr>
          <w:tab/>
        </w:r>
        <w:r w:rsidRPr="006044B8">
          <w:rPr>
            <w:rStyle w:val="Hyperlink"/>
            <w:noProof/>
          </w:rPr>
          <w:t>Prikaz razdelitve splošnih stroškov v skladu z 10. členom Uredbe za preteklo in prihodnje obračunsko obdobje</w:t>
        </w:r>
        <w:r>
          <w:rPr>
            <w:noProof/>
            <w:webHidden/>
          </w:rPr>
          <w:tab/>
        </w:r>
        <w:r>
          <w:rPr>
            <w:noProof/>
            <w:webHidden/>
          </w:rPr>
          <w:fldChar w:fldCharType="begin"/>
        </w:r>
        <w:r>
          <w:rPr>
            <w:noProof/>
            <w:webHidden/>
          </w:rPr>
          <w:instrText xml:space="preserve"> PAGEREF _Toc416257823 \h </w:instrText>
        </w:r>
        <w:r>
          <w:rPr>
            <w:noProof/>
            <w:webHidden/>
          </w:rPr>
        </w:r>
        <w:r>
          <w:rPr>
            <w:noProof/>
            <w:webHidden/>
          </w:rPr>
          <w:fldChar w:fldCharType="separate"/>
        </w:r>
        <w:r>
          <w:rPr>
            <w:noProof/>
            <w:webHidden/>
          </w:rPr>
          <w:t>9</w:t>
        </w:r>
        <w:r>
          <w:rPr>
            <w:noProof/>
            <w:webHidden/>
          </w:rPr>
          <w:fldChar w:fldCharType="end"/>
        </w:r>
      </w:hyperlink>
    </w:p>
    <w:p w:rsidR="00087CF4" w:rsidRDefault="00087CF4">
      <w:pPr>
        <w:pStyle w:val="TOC2"/>
        <w:tabs>
          <w:tab w:val="left" w:pos="1100"/>
          <w:tab w:val="right" w:leader="dot" w:pos="9062"/>
        </w:tabs>
        <w:rPr>
          <w:noProof/>
        </w:rPr>
      </w:pPr>
      <w:hyperlink w:anchor="_Toc416257824" w:history="1">
        <w:r w:rsidRPr="006044B8">
          <w:rPr>
            <w:rStyle w:val="Hyperlink"/>
            <w:noProof/>
          </w:rPr>
          <w:t>2.11.</w:t>
        </w:r>
        <w:r>
          <w:rPr>
            <w:noProof/>
          </w:rPr>
          <w:tab/>
        </w:r>
        <w:r w:rsidRPr="006044B8">
          <w:rPr>
            <w:rStyle w:val="Hyperlink"/>
            <w:noProof/>
          </w:rPr>
          <w:t>Prihodke, ki jih izvajalec ustvari z opravljanjem posebnih storitev za preteklo in prihodnje obračunsko obdobje</w:t>
        </w:r>
        <w:r>
          <w:rPr>
            <w:noProof/>
            <w:webHidden/>
          </w:rPr>
          <w:tab/>
        </w:r>
        <w:r>
          <w:rPr>
            <w:noProof/>
            <w:webHidden/>
          </w:rPr>
          <w:fldChar w:fldCharType="begin"/>
        </w:r>
        <w:r>
          <w:rPr>
            <w:noProof/>
            <w:webHidden/>
          </w:rPr>
          <w:instrText xml:space="preserve"> PAGEREF _Toc416257824 \h </w:instrText>
        </w:r>
        <w:r>
          <w:rPr>
            <w:noProof/>
            <w:webHidden/>
          </w:rPr>
        </w:r>
        <w:r>
          <w:rPr>
            <w:noProof/>
            <w:webHidden/>
          </w:rPr>
          <w:fldChar w:fldCharType="separate"/>
        </w:r>
        <w:r>
          <w:rPr>
            <w:noProof/>
            <w:webHidden/>
          </w:rPr>
          <w:t>10</w:t>
        </w:r>
        <w:r>
          <w:rPr>
            <w:noProof/>
            <w:webHidden/>
          </w:rPr>
          <w:fldChar w:fldCharType="end"/>
        </w:r>
      </w:hyperlink>
    </w:p>
    <w:p w:rsidR="00087CF4" w:rsidRDefault="00087CF4">
      <w:pPr>
        <w:pStyle w:val="TOC2"/>
        <w:tabs>
          <w:tab w:val="left" w:pos="1100"/>
          <w:tab w:val="right" w:leader="dot" w:pos="9062"/>
        </w:tabs>
        <w:rPr>
          <w:noProof/>
        </w:rPr>
      </w:pPr>
      <w:hyperlink w:anchor="_Toc416257825" w:history="1">
        <w:r w:rsidRPr="006044B8">
          <w:rPr>
            <w:rStyle w:val="Hyperlink"/>
            <w:noProof/>
          </w:rPr>
          <w:t>2.12.</w:t>
        </w:r>
        <w:r>
          <w:rPr>
            <w:noProof/>
          </w:rPr>
          <w:tab/>
        </w:r>
        <w:r w:rsidRPr="006044B8">
          <w:rPr>
            <w:rStyle w:val="Hyperlink"/>
            <w:noProof/>
          </w:rPr>
          <w:t>Donos na vložena poslovno potrebna osnovna sredstva za preteklo in prihodnje obračunsko obdobje</w:t>
        </w:r>
        <w:r>
          <w:rPr>
            <w:noProof/>
            <w:webHidden/>
          </w:rPr>
          <w:tab/>
        </w:r>
        <w:r>
          <w:rPr>
            <w:noProof/>
            <w:webHidden/>
          </w:rPr>
          <w:fldChar w:fldCharType="begin"/>
        </w:r>
        <w:r>
          <w:rPr>
            <w:noProof/>
            <w:webHidden/>
          </w:rPr>
          <w:instrText xml:space="preserve"> PAGEREF _Toc416257825 \h </w:instrText>
        </w:r>
        <w:r>
          <w:rPr>
            <w:noProof/>
            <w:webHidden/>
          </w:rPr>
        </w:r>
        <w:r>
          <w:rPr>
            <w:noProof/>
            <w:webHidden/>
          </w:rPr>
          <w:fldChar w:fldCharType="separate"/>
        </w:r>
        <w:r>
          <w:rPr>
            <w:noProof/>
            <w:webHidden/>
          </w:rPr>
          <w:t>10</w:t>
        </w:r>
        <w:r>
          <w:rPr>
            <w:noProof/>
            <w:webHidden/>
          </w:rPr>
          <w:fldChar w:fldCharType="end"/>
        </w:r>
      </w:hyperlink>
    </w:p>
    <w:p w:rsidR="00087CF4" w:rsidRDefault="00087CF4">
      <w:pPr>
        <w:pStyle w:val="TOC2"/>
        <w:tabs>
          <w:tab w:val="left" w:pos="1100"/>
          <w:tab w:val="right" w:leader="dot" w:pos="9062"/>
        </w:tabs>
        <w:rPr>
          <w:noProof/>
        </w:rPr>
      </w:pPr>
      <w:hyperlink w:anchor="_Toc416257826" w:history="1">
        <w:r w:rsidRPr="006044B8">
          <w:rPr>
            <w:rStyle w:val="Hyperlink"/>
            <w:noProof/>
          </w:rPr>
          <w:t>2.13.</w:t>
        </w:r>
        <w:r>
          <w:rPr>
            <w:noProof/>
          </w:rPr>
          <w:tab/>
        </w:r>
        <w:r w:rsidRPr="006044B8">
          <w:rPr>
            <w:rStyle w:val="Hyperlink"/>
            <w:noProof/>
          </w:rPr>
          <w:t>Število zaposlenih za izvajanje storitev posamezne javne službe za preteklo in prihodnje obračunsko obdobje</w:t>
        </w:r>
        <w:r>
          <w:rPr>
            <w:noProof/>
            <w:webHidden/>
          </w:rPr>
          <w:tab/>
        </w:r>
        <w:r>
          <w:rPr>
            <w:noProof/>
            <w:webHidden/>
          </w:rPr>
          <w:fldChar w:fldCharType="begin"/>
        </w:r>
        <w:r>
          <w:rPr>
            <w:noProof/>
            <w:webHidden/>
          </w:rPr>
          <w:instrText xml:space="preserve"> PAGEREF _Toc416257826 \h </w:instrText>
        </w:r>
        <w:r>
          <w:rPr>
            <w:noProof/>
            <w:webHidden/>
          </w:rPr>
        </w:r>
        <w:r>
          <w:rPr>
            <w:noProof/>
            <w:webHidden/>
          </w:rPr>
          <w:fldChar w:fldCharType="separate"/>
        </w:r>
        <w:r>
          <w:rPr>
            <w:noProof/>
            <w:webHidden/>
          </w:rPr>
          <w:t>10</w:t>
        </w:r>
        <w:r>
          <w:rPr>
            <w:noProof/>
            <w:webHidden/>
          </w:rPr>
          <w:fldChar w:fldCharType="end"/>
        </w:r>
      </w:hyperlink>
    </w:p>
    <w:p w:rsidR="00087CF4" w:rsidRDefault="00087CF4">
      <w:pPr>
        <w:pStyle w:val="TOC2"/>
        <w:tabs>
          <w:tab w:val="left" w:pos="1100"/>
          <w:tab w:val="right" w:leader="dot" w:pos="9062"/>
        </w:tabs>
        <w:rPr>
          <w:noProof/>
        </w:rPr>
      </w:pPr>
      <w:hyperlink w:anchor="_Toc416257827" w:history="1">
        <w:r w:rsidRPr="006044B8">
          <w:rPr>
            <w:rStyle w:val="Hyperlink"/>
            <w:noProof/>
          </w:rPr>
          <w:t>2.14.</w:t>
        </w:r>
        <w:r>
          <w:rPr>
            <w:noProof/>
          </w:rPr>
          <w:tab/>
        </w:r>
        <w:r w:rsidRPr="006044B8">
          <w:rPr>
            <w:rStyle w:val="Hyperlink"/>
            <w:noProof/>
          </w:rPr>
          <w:t>Višina najemnine za javno infrastrukturo in podatek o njenem deležu, ki se prenese na uporabnike javne infrastrukture</w:t>
        </w:r>
        <w:r>
          <w:rPr>
            <w:noProof/>
            <w:webHidden/>
          </w:rPr>
          <w:tab/>
        </w:r>
        <w:r>
          <w:rPr>
            <w:noProof/>
            <w:webHidden/>
          </w:rPr>
          <w:fldChar w:fldCharType="begin"/>
        </w:r>
        <w:r>
          <w:rPr>
            <w:noProof/>
            <w:webHidden/>
          </w:rPr>
          <w:instrText xml:space="preserve"> PAGEREF _Toc416257827 \h </w:instrText>
        </w:r>
        <w:r>
          <w:rPr>
            <w:noProof/>
            <w:webHidden/>
          </w:rPr>
        </w:r>
        <w:r>
          <w:rPr>
            <w:noProof/>
            <w:webHidden/>
          </w:rPr>
          <w:fldChar w:fldCharType="separate"/>
        </w:r>
        <w:r>
          <w:rPr>
            <w:noProof/>
            <w:webHidden/>
          </w:rPr>
          <w:t>11</w:t>
        </w:r>
        <w:r>
          <w:rPr>
            <w:noProof/>
            <w:webHidden/>
          </w:rPr>
          <w:fldChar w:fldCharType="end"/>
        </w:r>
      </w:hyperlink>
    </w:p>
    <w:p w:rsidR="00087CF4" w:rsidRDefault="00087CF4">
      <w:pPr>
        <w:pStyle w:val="TOC2"/>
        <w:tabs>
          <w:tab w:val="left" w:pos="1100"/>
          <w:tab w:val="right" w:leader="dot" w:pos="9062"/>
        </w:tabs>
        <w:rPr>
          <w:noProof/>
        </w:rPr>
      </w:pPr>
      <w:hyperlink w:anchor="_Toc416257828" w:history="1">
        <w:r w:rsidRPr="006044B8">
          <w:rPr>
            <w:rStyle w:val="Hyperlink"/>
            <w:noProof/>
          </w:rPr>
          <w:t>2.15.</w:t>
        </w:r>
        <w:r>
          <w:rPr>
            <w:noProof/>
          </w:rPr>
          <w:tab/>
        </w:r>
        <w:r w:rsidRPr="006044B8">
          <w:rPr>
            <w:rStyle w:val="Hyperlink"/>
            <w:noProof/>
          </w:rPr>
          <w:t>Stopnja izkoriščenosti javne infrastrukture, ki je namenjena izvajanju javne službe, in stopnja izkoriščenosti javne infrastrukture, ki je namenjena za izvajanje posebnih storitev</w:t>
        </w:r>
        <w:r>
          <w:rPr>
            <w:noProof/>
            <w:webHidden/>
          </w:rPr>
          <w:tab/>
        </w:r>
        <w:r>
          <w:rPr>
            <w:noProof/>
            <w:webHidden/>
          </w:rPr>
          <w:fldChar w:fldCharType="begin"/>
        </w:r>
        <w:r>
          <w:rPr>
            <w:noProof/>
            <w:webHidden/>
          </w:rPr>
          <w:instrText xml:space="preserve"> PAGEREF _Toc416257828 \h </w:instrText>
        </w:r>
        <w:r>
          <w:rPr>
            <w:noProof/>
            <w:webHidden/>
          </w:rPr>
        </w:r>
        <w:r>
          <w:rPr>
            <w:noProof/>
            <w:webHidden/>
          </w:rPr>
          <w:fldChar w:fldCharType="separate"/>
        </w:r>
        <w:r>
          <w:rPr>
            <w:noProof/>
            <w:webHidden/>
          </w:rPr>
          <w:t>11</w:t>
        </w:r>
        <w:r>
          <w:rPr>
            <w:noProof/>
            <w:webHidden/>
          </w:rPr>
          <w:fldChar w:fldCharType="end"/>
        </w:r>
      </w:hyperlink>
    </w:p>
    <w:p w:rsidR="00087CF4" w:rsidRDefault="00087CF4">
      <w:pPr>
        <w:pStyle w:val="TOC2"/>
        <w:tabs>
          <w:tab w:val="left" w:pos="1100"/>
          <w:tab w:val="right" w:leader="dot" w:pos="9062"/>
        </w:tabs>
        <w:rPr>
          <w:noProof/>
        </w:rPr>
      </w:pPr>
      <w:hyperlink w:anchor="_Toc416257829" w:history="1">
        <w:r w:rsidRPr="006044B8">
          <w:rPr>
            <w:rStyle w:val="Hyperlink"/>
            <w:noProof/>
          </w:rPr>
          <w:t>2.16.</w:t>
        </w:r>
        <w:r>
          <w:rPr>
            <w:noProof/>
          </w:rPr>
          <w:tab/>
        </w:r>
        <w:r w:rsidRPr="006044B8">
          <w:rPr>
            <w:rStyle w:val="Hyperlink"/>
            <w:noProof/>
          </w:rPr>
          <w:t>Izračun predračunske cene storitev posamezne javne službe za prihodnje obračunsko obdobje</w:t>
        </w:r>
        <w:r>
          <w:rPr>
            <w:noProof/>
            <w:webHidden/>
          </w:rPr>
          <w:tab/>
        </w:r>
        <w:r>
          <w:rPr>
            <w:noProof/>
            <w:webHidden/>
          </w:rPr>
          <w:fldChar w:fldCharType="begin"/>
        </w:r>
        <w:r>
          <w:rPr>
            <w:noProof/>
            <w:webHidden/>
          </w:rPr>
          <w:instrText xml:space="preserve"> PAGEREF _Toc416257829 \h </w:instrText>
        </w:r>
        <w:r>
          <w:rPr>
            <w:noProof/>
            <w:webHidden/>
          </w:rPr>
        </w:r>
        <w:r>
          <w:rPr>
            <w:noProof/>
            <w:webHidden/>
          </w:rPr>
          <w:fldChar w:fldCharType="separate"/>
        </w:r>
        <w:r>
          <w:rPr>
            <w:noProof/>
            <w:webHidden/>
          </w:rPr>
          <w:t>11</w:t>
        </w:r>
        <w:r>
          <w:rPr>
            <w:noProof/>
            <w:webHidden/>
          </w:rPr>
          <w:fldChar w:fldCharType="end"/>
        </w:r>
      </w:hyperlink>
    </w:p>
    <w:p w:rsidR="00087CF4" w:rsidRDefault="00087CF4">
      <w:pPr>
        <w:pStyle w:val="TOC3"/>
        <w:tabs>
          <w:tab w:val="left" w:pos="1320"/>
          <w:tab w:val="right" w:leader="dot" w:pos="9062"/>
        </w:tabs>
        <w:rPr>
          <w:noProof/>
        </w:rPr>
      </w:pPr>
      <w:hyperlink w:anchor="_Toc416257830" w:history="1">
        <w:r w:rsidRPr="006044B8">
          <w:rPr>
            <w:rStyle w:val="Hyperlink"/>
            <w:noProof/>
          </w:rPr>
          <w:t>2.16.1.</w:t>
        </w:r>
        <w:r>
          <w:rPr>
            <w:noProof/>
          </w:rPr>
          <w:tab/>
        </w:r>
        <w:r w:rsidRPr="006044B8">
          <w:rPr>
            <w:rStyle w:val="Hyperlink"/>
            <w:noProof/>
          </w:rPr>
          <w:t>Subvencioniranje cene omrežnine</w:t>
        </w:r>
        <w:r>
          <w:rPr>
            <w:noProof/>
            <w:webHidden/>
          </w:rPr>
          <w:tab/>
        </w:r>
        <w:r>
          <w:rPr>
            <w:noProof/>
            <w:webHidden/>
          </w:rPr>
          <w:fldChar w:fldCharType="begin"/>
        </w:r>
        <w:r>
          <w:rPr>
            <w:noProof/>
            <w:webHidden/>
          </w:rPr>
          <w:instrText xml:space="preserve"> PAGEREF _Toc416257830 \h </w:instrText>
        </w:r>
        <w:r>
          <w:rPr>
            <w:noProof/>
            <w:webHidden/>
          </w:rPr>
        </w:r>
        <w:r>
          <w:rPr>
            <w:noProof/>
            <w:webHidden/>
          </w:rPr>
          <w:fldChar w:fldCharType="separate"/>
        </w:r>
        <w:r>
          <w:rPr>
            <w:noProof/>
            <w:webHidden/>
          </w:rPr>
          <w:t>12</w:t>
        </w:r>
        <w:r>
          <w:rPr>
            <w:noProof/>
            <w:webHidden/>
          </w:rPr>
          <w:fldChar w:fldCharType="end"/>
        </w:r>
      </w:hyperlink>
    </w:p>
    <w:p w:rsidR="00087CF4" w:rsidRDefault="00087CF4">
      <w:pPr>
        <w:pStyle w:val="TOC2"/>
        <w:tabs>
          <w:tab w:val="left" w:pos="1100"/>
          <w:tab w:val="right" w:leader="dot" w:pos="9062"/>
        </w:tabs>
        <w:rPr>
          <w:noProof/>
        </w:rPr>
      </w:pPr>
      <w:hyperlink w:anchor="_Toc416257831" w:history="1">
        <w:r w:rsidRPr="006044B8">
          <w:rPr>
            <w:rStyle w:val="Hyperlink"/>
            <w:noProof/>
          </w:rPr>
          <w:t>2.17.</w:t>
        </w:r>
        <w:r>
          <w:rPr>
            <w:noProof/>
          </w:rPr>
          <w:tab/>
        </w:r>
        <w:r w:rsidRPr="006044B8">
          <w:rPr>
            <w:rStyle w:val="Hyperlink"/>
            <w:noProof/>
          </w:rPr>
          <w:t>Prikaz sodil za razporejanje vseh stroškov in prihodkov po dejavnostih</w:t>
        </w:r>
        <w:r>
          <w:rPr>
            <w:noProof/>
            <w:webHidden/>
          </w:rPr>
          <w:tab/>
        </w:r>
        <w:r>
          <w:rPr>
            <w:noProof/>
            <w:webHidden/>
          </w:rPr>
          <w:fldChar w:fldCharType="begin"/>
        </w:r>
        <w:r>
          <w:rPr>
            <w:noProof/>
            <w:webHidden/>
          </w:rPr>
          <w:instrText xml:space="preserve"> PAGEREF _Toc416257831 \h </w:instrText>
        </w:r>
        <w:r>
          <w:rPr>
            <w:noProof/>
            <w:webHidden/>
          </w:rPr>
        </w:r>
        <w:r>
          <w:rPr>
            <w:noProof/>
            <w:webHidden/>
          </w:rPr>
          <w:fldChar w:fldCharType="separate"/>
        </w:r>
        <w:r>
          <w:rPr>
            <w:noProof/>
            <w:webHidden/>
          </w:rPr>
          <w:t>13</w:t>
        </w:r>
        <w:r>
          <w:rPr>
            <w:noProof/>
            <w:webHidden/>
          </w:rPr>
          <w:fldChar w:fldCharType="end"/>
        </w:r>
      </w:hyperlink>
    </w:p>
    <w:p w:rsidR="00087CF4" w:rsidRDefault="00087CF4">
      <w:pPr>
        <w:pStyle w:val="TOC3"/>
        <w:tabs>
          <w:tab w:val="left" w:pos="1320"/>
          <w:tab w:val="right" w:leader="dot" w:pos="9062"/>
        </w:tabs>
        <w:rPr>
          <w:noProof/>
        </w:rPr>
      </w:pPr>
      <w:hyperlink w:anchor="_Toc416257832" w:history="1">
        <w:r w:rsidRPr="006044B8">
          <w:rPr>
            <w:rStyle w:val="Hyperlink"/>
            <w:noProof/>
          </w:rPr>
          <w:t>2.17.1.</w:t>
        </w:r>
        <w:r>
          <w:rPr>
            <w:noProof/>
          </w:rPr>
          <w:tab/>
        </w:r>
        <w:r w:rsidRPr="006044B8">
          <w:rPr>
            <w:rStyle w:val="Hyperlink"/>
            <w:noProof/>
          </w:rPr>
          <w:t>Sodila za stroške omrežnine</w:t>
        </w:r>
        <w:r>
          <w:rPr>
            <w:noProof/>
            <w:webHidden/>
          </w:rPr>
          <w:tab/>
        </w:r>
        <w:r>
          <w:rPr>
            <w:noProof/>
            <w:webHidden/>
          </w:rPr>
          <w:fldChar w:fldCharType="begin"/>
        </w:r>
        <w:r>
          <w:rPr>
            <w:noProof/>
            <w:webHidden/>
          </w:rPr>
          <w:instrText xml:space="preserve"> PAGEREF _Toc416257832 \h </w:instrText>
        </w:r>
        <w:r>
          <w:rPr>
            <w:noProof/>
            <w:webHidden/>
          </w:rPr>
        </w:r>
        <w:r>
          <w:rPr>
            <w:noProof/>
            <w:webHidden/>
          </w:rPr>
          <w:fldChar w:fldCharType="separate"/>
        </w:r>
        <w:r>
          <w:rPr>
            <w:noProof/>
            <w:webHidden/>
          </w:rPr>
          <w:t>13</w:t>
        </w:r>
        <w:r>
          <w:rPr>
            <w:noProof/>
            <w:webHidden/>
          </w:rPr>
          <w:fldChar w:fldCharType="end"/>
        </w:r>
      </w:hyperlink>
    </w:p>
    <w:p w:rsidR="00087CF4" w:rsidRDefault="00087CF4">
      <w:pPr>
        <w:pStyle w:val="TOC3"/>
        <w:tabs>
          <w:tab w:val="left" w:pos="1320"/>
          <w:tab w:val="right" w:leader="dot" w:pos="9062"/>
        </w:tabs>
        <w:rPr>
          <w:noProof/>
        </w:rPr>
      </w:pPr>
      <w:hyperlink w:anchor="_Toc416257833" w:history="1">
        <w:r w:rsidRPr="006044B8">
          <w:rPr>
            <w:rStyle w:val="Hyperlink"/>
            <w:noProof/>
          </w:rPr>
          <w:t>2.17.2.</w:t>
        </w:r>
        <w:r>
          <w:rPr>
            <w:noProof/>
          </w:rPr>
          <w:tab/>
        </w:r>
        <w:r w:rsidRPr="006044B8">
          <w:rPr>
            <w:rStyle w:val="Hyperlink"/>
            <w:noProof/>
          </w:rPr>
          <w:t>Sodila za stroške izvajanja storitev</w:t>
        </w:r>
        <w:r>
          <w:rPr>
            <w:noProof/>
            <w:webHidden/>
          </w:rPr>
          <w:tab/>
        </w:r>
        <w:r>
          <w:rPr>
            <w:noProof/>
            <w:webHidden/>
          </w:rPr>
          <w:fldChar w:fldCharType="begin"/>
        </w:r>
        <w:r>
          <w:rPr>
            <w:noProof/>
            <w:webHidden/>
          </w:rPr>
          <w:instrText xml:space="preserve"> PAGEREF _Toc416257833 \h </w:instrText>
        </w:r>
        <w:r>
          <w:rPr>
            <w:noProof/>
            <w:webHidden/>
          </w:rPr>
        </w:r>
        <w:r>
          <w:rPr>
            <w:noProof/>
            <w:webHidden/>
          </w:rPr>
          <w:fldChar w:fldCharType="separate"/>
        </w:r>
        <w:r>
          <w:rPr>
            <w:noProof/>
            <w:webHidden/>
          </w:rPr>
          <w:t>13</w:t>
        </w:r>
        <w:r>
          <w:rPr>
            <w:noProof/>
            <w:webHidden/>
          </w:rPr>
          <w:fldChar w:fldCharType="end"/>
        </w:r>
      </w:hyperlink>
    </w:p>
    <w:p w:rsidR="00087CF4" w:rsidRDefault="00087CF4">
      <w:pPr>
        <w:pStyle w:val="TOC3"/>
        <w:tabs>
          <w:tab w:val="left" w:pos="1320"/>
          <w:tab w:val="right" w:leader="dot" w:pos="9062"/>
        </w:tabs>
        <w:rPr>
          <w:noProof/>
        </w:rPr>
      </w:pPr>
      <w:hyperlink w:anchor="_Toc416257834" w:history="1">
        <w:r w:rsidRPr="006044B8">
          <w:rPr>
            <w:rStyle w:val="Hyperlink"/>
            <w:noProof/>
          </w:rPr>
          <w:t>2.17.3.</w:t>
        </w:r>
        <w:r>
          <w:rPr>
            <w:noProof/>
          </w:rPr>
          <w:tab/>
        </w:r>
        <w:r w:rsidRPr="006044B8">
          <w:rPr>
            <w:rStyle w:val="Hyperlink"/>
            <w:noProof/>
          </w:rPr>
          <w:t>Sodila za prihodke</w:t>
        </w:r>
        <w:r>
          <w:rPr>
            <w:noProof/>
            <w:webHidden/>
          </w:rPr>
          <w:tab/>
        </w:r>
        <w:r>
          <w:rPr>
            <w:noProof/>
            <w:webHidden/>
          </w:rPr>
          <w:fldChar w:fldCharType="begin"/>
        </w:r>
        <w:r>
          <w:rPr>
            <w:noProof/>
            <w:webHidden/>
          </w:rPr>
          <w:instrText xml:space="preserve"> PAGEREF _Toc416257834 \h </w:instrText>
        </w:r>
        <w:r>
          <w:rPr>
            <w:noProof/>
            <w:webHidden/>
          </w:rPr>
        </w:r>
        <w:r>
          <w:rPr>
            <w:noProof/>
            <w:webHidden/>
          </w:rPr>
          <w:fldChar w:fldCharType="separate"/>
        </w:r>
        <w:r>
          <w:rPr>
            <w:noProof/>
            <w:webHidden/>
          </w:rPr>
          <w:t>13</w:t>
        </w:r>
        <w:r>
          <w:rPr>
            <w:noProof/>
            <w:webHidden/>
          </w:rPr>
          <w:fldChar w:fldCharType="end"/>
        </w:r>
      </w:hyperlink>
    </w:p>
    <w:p w:rsidR="00087CF4" w:rsidRDefault="00087CF4">
      <w:r>
        <w:fldChar w:fldCharType="end"/>
      </w:r>
    </w:p>
    <w:p w:rsidR="00087CF4" w:rsidRDefault="00087CF4" w:rsidP="003D7127">
      <w:pPr>
        <w:tabs>
          <w:tab w:val="left" w:pos="7713"/>
        </w:tabs>
      </w:pPr>
      <w:r>
        <w:br w:type="page"/>
      </w:r>
      <w:r>
        <w:tab/>
      </w:r>
    </w:p>
    <w:p w:rsidR="00087CF4" w:rsidRPr="00AC3D35" w:rsidRDefault="00087CF4" w:rsidP="00AC3D35">
      <w:pPr>
        <w:pStyle w:val="Heading1"/>
        <w:rPr>
          <w:rFonts w:ascii="Calibri" w:hAnsi="Calibri"/>
        </w:rPr>
      </w:pPr>
      <w:bookmarkStart w:id="0" w:name="_Toc416257810"/>
      <w:r w:rsidRPr="00AC3D35">
        <w:rPr>
          <w:rFonts w:ascii="Calibri" w:hAnsi="Calibri"/>
        </w:rPr>
        <w:t>Uvod</w:t>
      </w:r>
      <w:bookmarkEnd w:id="0"/>
    </w:p>
    <w:p w:rsidR="00087CF4" w:rsidRPr="00F805B3" w:rsidRDefault="00087CF4" w:rsidP="00F805B3">
      <w:r>
        <w:t xml:space="preserve">S 1.1.2013 je pričela veljati nova Uredba o metodologiji za oblikovanje cen storitev obveznih občinskih gospodarskih javnih služb varstva okolja (Ur.l.št. 87/12, z dne 16.11.2012; v nadaljevanju: Uredba). Omenjena uredba določa metodologijo za oblikovanje cen storitev obveznih občinskih gospodarskih javnih služb varstva okolja: oskrbo s pitno vodo, čiščenje in čiščenje komunalne odpadne vode. Cene so ločene na fiksni (cena javne infrastrukture) in variabilni del (cena izvajanja storitve).  </w:t>
      </w:r>
    </w:p>
    <w:p w:rsidR="00087CF4" w:rsidRDefault="00087CF4" w:rsidP="00295557">
      <w:r w:rsidRPr="00CE25E8">
        <w:t xml:space="preserve">V elaboratu </w:t>
      </w:r>
      <w:r>
        <w:t>so oblikovane</w:t>
      </w:r>
      <w:r w:rsidRPr="00CE25E8">
        <w:t xml:space="preserve"> cen</w:t>
      </w:r>
      <w:r>
        <w:t>e izvajanja storit</w:t>
      </w:r>
      <w:r w:rsidRPr="00CE25E8">
        <w:t>v</w:t>
      </w:r>
      <w:r>
        <w:t>e</w:t>
      </w:r>
      <w:r w:rsidRPr="00CE25E8">
        <w:t xml:space="preserve"> </w:t>
      </w:r>
      <w:r>
        <w:t xml:space="preserve">komunalne odpadne vode </w:t>
      </w:r>
      <w:r w:rsidRPr="00CE25E8">
        <w:t xml:space="preserve">na </w:t>
      </w:r>
      <w:r w:rsidRPr="00E97343">
        <w:t xml:space="preserve">območju Občine </w:t>
      </w:r>
      <w:r>
        <w:rPr>
          <w:bCs/>
        </w:rPr>
        <w:t>Črna na Koroškem</w:t>
      </w:r>
      <w:r w:rsidRPr="00E97343">
        <w:t>.</w:t>
      </w:r>
      <w:r>
        <w:t xml:space="preserve"> Cene</w:t>
      </w:r>
      <w:r w:rsidRPr="00CE25E8">
        <w:t xml:space="preserve"> </w:t>
      </w:r>
      <w:r>
        <w:t xml:space="preserve">so oblikovanje </w:t>
      </w:r>
      <w:r w:rsidRPr="00CE25E8">
        <w:t>skladno z metodologijo, ki jo predpisuje Uredba o metodologiji za oblikovanje cen storitev obveznih občinskih gospodarskih javnih služb varstva okolja</w:t>
      </w:r>
      <w:r>
        <w:t xml:space="preserve"> </w:t>
      </w:r>
      <w:r w:rsidRPr="00CE25E8">
        <w:t>(Uradni list RS št. 87/2012, 109/2012).</w:t>
      </w:r>
    </w:p>
    <w:p w:rsidR="00087CF4" w:rsidRPr="003D785A" w:rsidRDefault="00087CF4" w:rsidP="00295557">
      <w:r>
        <w:t>V skladu s 6. členom uredbe izvajalec javne službe enkrat letno izdela obračunske cene opravljenih storitev in jih primerja s potrjeno ceno za preteklo obračunsko obdobje. Enkrat letno pripravi poračun opravljenih storitev za preteklo obračunsko obdobje, ki pa se upošteva pri izračunu predračunske cene za naslednje obdobje. Če ugotovljena razlika med potrjeno ceno in obračunsko ceno glede na dejansko količino opravljenih storitev v preteklem obračunskem obdobju presega 10% odstotkov od potrjene cene, je izvajalec dolžan predlagati ceno in jo poslati pristojnemu občinskemu organu, ki prične postopek potrjevanja cene.</w:t>
      </w:r>
    </w:p>
    <w:p w:rsidR="00087CF4" w:rsidRPr="00AC3D35" w:rsidRDefault="00087CF4" w:rsidP="00295557">
      <w:pPr>
        <w:pStyle w:val="Heading2"/>
        <w:rPr>
          <w:rFonts w:ascii="Calibri" w:hAnsi="Calibri"/>
        </w:rPr>
      </w:pPr>
      <w:bookmarkStart w:id="1" w:name="_Toc416257811"/>
      <w:r w:rsidRPr="00AC3D35">
        <w:rPr>
          <w:rFonts w:ascii="Calibri" w:hAnsi="Calibri"/>
        </w:rPr>
        <w:t>Pravne podlage</w:t>
      </w:r>
      <w:bookmarkEnd w:id="1"/>
    </w:p>
    <w:p w:rsidR="00087CF4" w:rsidRDefault="00087CF4" w:rsidP="00295557">
      <w:r w:rsidRPr="007C0E76">
        <w:t xml:space="preserve">Zakon o varstvu okolja (Uradni list RS, št. 39/06 – uradno prečiščeno besedilo, 49/06 – ZMetD, 66/06 – odl. US, 33/07 – ZP Načrt, 57/08 – ZFO – 1A, 70/08, 108/09, 48/12 in 57/12) v tretjem odstavku 149. člena določa, da vlada podrobneje predpiše metodologijo za oblikovanje cen, oskrbovalne standarde in tehnične, vzdrževalne, organizacijske in druge ukrepe in normative za opravljanje javnih služb. V zvezi s tem je izdala </w:t>
      </w:r>
      <w:r w:rsidRPr="00B04FAC">
        <w:t xml:space="preserve">Uredba o odvajanju in čiščenju komunalne in padavinske odpadne vode (Uradni list RS, št. </w:t>
      </w:r>
      <w:hyperlink r:id="rId8" w:tgtFrame="_blank" w:tooltip="Uredba o odvajanju in čiščenju komunalne in padavinske odpadne vode" w:history="1">
        <w:r w:rsidRPr="00B04FAC">
          <w:rPr>
            <w:color w:val="0000FF"/>
            <w:u w:val="single"/>
          </w:rPr>
          <w:t>88/11</w:t>
        </w:r>
      </w:hyperlink>
      <w:r w:rsidRPr="00B04FAC">
        <w:t xml:space="preserve">, </w:t>
      </w:r>
      <w:hyperlink r:id="rId9" w:tgtFrame="_blank" w:tooltip="Uredba o spremembi Uredbe o odvajanju in čiščenju komunalne in padavinske odpadne vode" w:history="1">
        <w:r w:rsidRPr="00B04FAC">
          <w:rPr>
            <w:color w:val="0000FF"/>
            <w:u w:val="single"/>
          </w:rPr>
          <w:t>8/12</w:t>
        </w:r>
      </w:hyperlink>
      <w:r w:rsidRPr="00B04FAC">
        <w:t xml:space="preserve"> in </w:t>
      </w:r>
      <w:hyperlink r:id="rId10" w:tgtFrame="_blank" w:tooltip="Uredba o spremembah Uredbe o odvajanju in čiščenju komunalne in padavinske odpadne vode" w:history="1">
        <w:r w:rsidRPr="00B04FAC">
          <w:rPr>
            <w:color w:val="0000FF"/>
            <w:u w:val="single"/>
          </w:rPr>
          <w:t>108/13</w:t>
        </w:r>
      </w:hyperlink>
      <w:r w:rsidRPr="00B04FAC">
        <w:t>)</w:t>
      </w:r>
      <w:r>
        <w:t xml:space="preserve"> in Uredbo </w:t>
      </w:r>
      <w:r w:rsidRPr="007C0E76">
        <w:t xml:space="preserve">o metodologiji za oblikovanje cen storitev obveznih občinskih gospodarskih javnih služb varstva okolja (Uradni list RS št. 87/2012, 109/2012,  v nadaljevanju Uredba), ki </w:t>
      </w:r>
      <w:r>
        <w:t>so osnova</w:t>
      </w:r>
      <w:r w:rsidRPr="007C0E76">
        <w:t xml:space="preserve"> za</w:t>
      </w:r>
      <w:r>
        <w:t xml:space="preserve"> izdelavo</w:t>
      </w:r>
      <w:r w:rsidRPr="007C0E76">
        <w:t xml:space="preserve"> Elaborat</w:t>
      </w:r>
      <w:r>
        <w:t>a</w:t>
      </w:r>
      <w:r w:rsidRPr="007C0E76">
        <w:t xml:space="preserve"> o oblikovanju cen storitve obvezne gospodarske javne službe </w:t>
      </w:r>
      <w:r>
        <w:t>čiščenje komunalne odpadne vode</w:t>
      </w:r>
      <w:r w:rsidRPr="007C0E76">
        <w:t xml:space="preserve"> na območju občine </w:t>
      </w:r>
      <w:r>
        <w:t>Črna na Koroškem</w:t>
      </w:r>
      <w:r w:rsidRPr="007C0E76">
        <w:t>.</w:t>
      </w:r>
    </w:p>
    <w:p w:rsidR="00087CF4" w:rsidRPr="00AC3D35" w:rsidRDefault="00087CF4" w:rsidP="009B5DD2">
      <w:pPr>
        <w:pStyle w:val="Heading2"/>
        <w:rPr>
          <w:rFonts w:ascii="Calibri" w:hAnsi="Calibri"/>
        </w:rPr>
      </w:pPr>
      <w:bookmarkStart w:id="2" w:name="_Toc416257812"/>
      <w:r w:rsidRPr="00AC3D35">
        <w:rPr>
          <w:rFonts w:ascii="Calibri" w:hAnsi="Calibri"/>
        </w:rPr>
        <w:t xml:space="preserve">Javna gospodarska služba </w:t>
      </w:r>
      <w:bookmarkEnd w:id="2"/>
      <w:r>
        <w:rPr>
          <w:rFonts w:ascii="Calibri" w:hAnsi="Calibri"/>
        </w:rPr>
        <w:t>čiščenje odpadne komunalne vode</w:t>
      </w:r>
    </w:p>
    <w:p w:rsidR="00087CF4" w:rsidRDefault="00087CF4" w:rsidP="00583BEB"/>
    <w:p w:rsidR="00087CF4" w:rsidRDefault="00087CF4" w:rsidP="00583BEB">
      <w:r>
        <w:t xml:space="preserve">Čiščenje komunalne odpadne vode po 149. členu Zakona o varstvu okolja med obvezne občinske gospodarske javne službe varstva okolja. </w:t>
      </w:r>
    </w:p>
    <w:p w:rsidR="00087CF4" w:rsidRDefault="00087CF4" w:rsidP="00295557">
      <w:r>
        <w:t xml:space="preserve">Vrste nalog, pogoje za izvajanje, ukrepe za opravljanje javne službe ter načine in pogoje, ki se izvajajo v okviru storitev obvezne občinske gospodarske javne službe čiščenje komunalne odpadne vode, določa </w:t>
      </w:r>
      <w:r w:rsidRPr="009B1CA1">
        <w:t xml:space="preserve">Uredba o odvajanju in čiščenju komunalne in padavinske odpadne vode (Uradni list RS, št. </w:t>
      </w:r>
      <w:hyperlink r:id="rId11" w:tgtFrame="_blank" w:tooltip="Uredba o odvajanju in čiščenju komunalne in padavinske odpadne vode" w:history="1">
        <w:r w:rsidRPr="009B1CA1">
          <w:rPr>
            <w:color w:val="000000"/>
          </w:rPr>
          <w:t>88/11</w:t>
        </w:r>
      </w:hyperlink>
      <w:r w:rsidRPr="009B1CA1">
        <w:rPr>
          <w:color w:val="000000"/>
        </w:rPr>
        <w:t xml:space="preserve">, </w:t>
      </w:r>
      <w:hyperlink r:id="rId12" w:tgtFrame="_blank" w:tooltip="Uredba o spremembi Uredbe o odvajanju in čiščenju komunalne in padavinske odpadne vode" w:history="1">
        <w:r w:rsidRPr="009B1CA1">
          <w:rPr>
            <w:color w:val="000000"/>
          </w:rPr>
          <w:t>8/12</w:t>
        </w:r>
      </w:hyperlink>
      <w:r w:rsidRPr="009B1CA1">
        <w:rPr>
          <w:color w:val="000000"/>
        </w:rPr>
        <w:t xml:space="preserve"> in </w:t>
      </w:r>
      <w:hyperlink r:id="rId13" w:tgtFrame="_blank" w:tooltip="Uredba o spremembah Uredbe o odvajanju in čiščenju komunalne in padavinske odpadne vode" w:history="1">
        <w:r w:rsidRPr="009B1CA1">
          <w:rPr>
            <w:color w:val="000000"/>
          </w:rPr>
          <w:t>108/13</w:t>
        </w:r>
      </w:hyperlink>
      <w:r w:rsidRPr="009B1CA1">
        <w:t xml:space="preserve">) </w:t>
      </w:r>
      <w:r>
        <w:t xml:space="preserve">in </w:t>
      </w:r>
      <w:r>
        <w:rPr>
          <w:rFonts w:cs="Calibri"/>
        </w:rPr>
        <w:t>Odloka o odvajanju in čiščenju komunalne in padavinske odpadne vode ter izvajanju posebnih storitev (Uradno glasilo slovenskih občin št. 07/2016)</w:t>
      </w:r>
      <w:bookmarkStart w:id="3" w:name="_GoBack"/>
      <w:bookmarkEnd w:id="3"/>
      <w:r>
        <w:t>.</w:t>
      </w:r>
    </w:p>
    <w:p w:rsidR="00087CF4" w:rsidRDefault="00087CF4" w:rsidP="00295557">
      <w:r>
        <w:t>Metodologija oblikovanja cen je določena z Uredbo (točka 1.1).</w:t>
      </w:r>
    </w:p>
    <w:p w:rsidR="00087CF4" w:rsidRDefault="00087CF4" w:rsidP="00C77539">
      <w:r>
        <w:t xml:space="preserve">Izvajanje javne službe ureja Zakon o gospodarskih javnih službah. V občini Črna na Koroškem so dejavnosti in način oziroma oblike izvajanja določeni z </w:t>
      </w:r>
      <w:r w:rsidRPr="00151D5F">
        <w:rPr>
          <w:color w:val="000000"/>
        </w:rPr>
        <w:t xml:space="preserve">Odlokom o </w:t>
      </w:r>
      <w:r>
        <w:rPr>
          <w:color w:val="000000"/>
        </w:rPr>
        <w:t>gospodarskih</w:t>
      </w:r>
      <w:r w:rsidRPr="00151D5F">
        <w:rPr>
          <w:color w:val="000000"/>
        </w:rPr>
        <w:t xml:space="preserve"> </w:t>
      </w:r>
      <w:r>
        <w:rPr>
          <w:color w:val="000000"/>
        </w:rPr>
        <w:t>službah</w:t>
      </w:r>
      <w:r w:rsidRPr="00151D5F">
        <w:rPr>
          <w:color w:val="000000"/>
        </w:rPr>
        <w:t xml:space="preserve"> v Občini Črna na Koroškem (Medobčinski uradni vestnik – MUV št. 6/96</w:t>
      </w:r>
      <w:r>
        <w:t>).</w:t>
      </w:r>
      <w:r w:rsidRPr="00C77539">
        <w:t xml:space="preserve"> </w:t>
      </w:r>
      <w:r>
        <w:t xml:space="preserve">Gospodarske javne službe se izvajajo v okviru režijskega obrata Občine Črna na Koroškem ki je po </w:t>
      </w:r>
      <w:r w:rsidRPr="00AE615C">
        <w:rPr>
          <w:color w:val="000000"/>
        </w:rPr>
        <w:t xml:space="preserve">Odloku o načinu izvajanja javne gospodarske službe v občini Črna na Koroškem notranja organizacijska enota občinske uprave </w:t>
      </w:r>
      <w:r w:rsidRPr="00151D5F">
        <w:rPr>
          <w:color w:val="000000"/>
        </w:rPr>
        <w:t>(Medobčinski uradni vestnik – MUV št. 6/96</w:t>
      </w:r>
      <w:r>
        <w:t>).</w:t>
      </w:r>
    </w:p>
    <w:p w:rsidR="00087CF4" w:rsidRPr="00AC3D35" w:rsidRDefault="00087CF4" w:rsidP="00295557">
      <w:pPr>
        <w:pStyle w:val="Heading1"/>
        <w:rPr>
          <w:rFonts w:ascii="Calibri" w:hAnsi="Calibri"/>
        </w:rPr>
      </w:pPr>
      <w:bookmarkStart w:id="4" w:name="_Toc416257813"/>
      <w:r w:rsidRPr="00AC3D35">
        <w:rPr>
          <w:rFonts w:ascii="Calibri" w:hAnsi="Calibri"/>
        </w:rPr>
        <w:t>Elementi elaborata</w:t>
      </w:r>
      <w:bookmarkEnd w:id="4"/>
      <w:r w:rsidRPr="00AC3D35">
        <w:rPr>
          <w:rFonts w:ascii="Calibri" w:hAnsi="Calibri"/>
        </w:rPr>
        <w:t xml:space="preserve"> </w:t>
      </w:r>
    </w:p>
    <w:p w:rsidR="00087CF4" w:rsidRDefault="00087CF4" w:rsidP="00295557">
      <w:r w:rsidRPr="00295557">
        <w:t>Uredba v 9. členu opredeli izdelavo elaborata</w:t>
      </w:r>
      <w:r>
        <w:t xml:space="preserve"> po vsebini, ki je enaka točkam tega elaborata (2.1. in naprej).</w:t>
      </w:r>
    </w:p>
    <w:p w:rsidR="00087CF4" w:rsidRDefault="00087CF4" w:rsidP="00295557">
      <w:r>
        <w:t xml:space="preserve">Pri oblikovanju cen storitve čiščenje odpadne komunalne vode v letu 2016 so upoštevani načrtovani stroški in načrtovane količine opravljenih storitev, ki temeljijo na stroških in količinah iz leta 2016 z upoštevanimi predvidenimi spremembami v letu 2016. </w:t>
      </w:r>
    </w:p>
    <w:p w:rsidR="00087CF4" w:rsidRDefault="00087CF4" w:rsidP="00C427C9">
      <w:r>
        <w:t>V okviru elaborata gospodarske javne službe čiščenje odpadne komunalne odpadne vode se storitve javne službe delijo na omrežnino in čiščenje (cena storitve).</w:t>
      </w:r>
    </w:p>
    <w:p w:rsidR="00087CF4" w:rsidRDefault="00087CF4" w:rsidP="00C427C9">
      <w:r>
        <w:t>Osnovne značilnosti izdelanih kalkulacij na osnovi uredbe:</w:t>
      </w:r>
    </w:p>
    <w:p w:rsidR="00087CF4" w:rsidRDefault="00087CF4" w:rsidP="002D6D8F">
      <w:pPr>
        <w:pStyle w:val="ListParagraph"/>
        <w:numPr>
          <w:ilvl w:val="0"/>
          <w:numId w:val="18"/>
        </w:numPr>
      </w:pPr>
      <w:r>
        <w:t>Kalkulacije so izdelane in prikazane skladno s predpisanimi kalkulativnimi elementi iz uredbe;</w:t>
      </w:r>
    </w:p>
    <w:p w:rsidR="00087CF4" w:rsidRDefault="00087CF4" w:rsidP="002D6D8F">
      <w:pPr>
        <w:pStyle w:val="ListParagraph"/>
        <w:numPr>
          <w:ilvl w:val="0"/>
          <w:numId w:val="18"/>
        </w:numPr>
      </w:pPr>
      <w:r>
        <w:t>Kalkulacije za leto 2016 temeljijo na letnih stroških 2016, s predvidenimi spremembami v letu 2016;</w:t>
      </w:r>
    </w:p>
    <w:p w:rsidR="00087CF4" w:rsidRDefault="00087CF4" w:rsidP="002D6D8F">
      <w:pPr>
        <w:pStyle w:val="ListParagraph"/>
        <w:numPr>
          <w:ilvl w:val="0"/>
          <w:numId w:val="18"/>
        </w:numPr>
      </w:pPr>
      <w:r>
        <w:t>Cene so ločene na omrežnino in variabilni del;</w:t>
      </w:r>
    </w:p>
    <w:p w:rsidR="00087CF4" w:rsidRDefault="00087CF4" w:rsidP="002D6D8F">
      <w:pPr>
        <w:pStyle w:val="ListParagraph"/>
        <w:numPr>
          <w:ilvl w:val="0"/>
          <w:numId w:val="18"/>
        </w:numPr>
      </w:pPr>
      <w:r>
        <w:t>V blokih, ki imajo skupni vodomer, se za vsako stanovanjsko enoto obračuna omrežnina za priključek DN&lt;=20;</w:t>
      </w:r>
    </w:p>
    <w:p w:rsidR="00087CF4" w:rsidRDefault="00087CF4" w:rsidP="002D6D8F">
      <w:pPr>
        <w:pStyle w:val="ListParagraph"/>
        <w:numPr>
          <w:ilvl w:val="0"/>
          <w:numId w:val="18"/>
        </w:numPr>
      </w:pPr>
      <w:r>
        <w:t>Kot dosilo za razporejanje splošnih stroškov javnih služb se privzema delitev po veljavnem ključu, sprejetem v letu 2016;</w:t>
      </w:r>
    </w:p>
    <w:p w:rsidR="00087CF4" w:rsidRPr="00A825ED" w:rsidRDefault="00087CF4" w:rsidP="00F03B54">
      <w:pPr>
        <w:pStyle w:val="ListParagraph"/>
        <w:numPr>
          <w:ilvl w:val="0"/>
          <w:numId w:val="18"/>
        </w:numPr>
      </w:pPr>
      <w:r>
        <w:t>Cene znotraj občine glede na vrsto uporabnikov (gospodinjstvo, gospodarstvo, ustanova) niso diferencirane.</w:t>
      </w:r>
    </w:p>
    <w:p w:rsidR="00087CF4" w:rsidRPr="00AC3D35" w:rsidRDefault="00087CF4" w:rsidP="00387D77">
      <w:pPr>
        <w:pStyle w:val="Heading2"/>
        <w:rPr>
          <w:rFonts w:ascii="Calibri" w:hAnsi="Calibri"/>
        </w:rPr>
      </w:pPr>
      <w:bookmarkStart w:id="5" w:name="_Toc416257814"/>
      <w:r w:rsidRPr="00AC3D35">
        <w:rPr>
          <w:rFonts w:ascii="Calibri" w:hAnsi="Calibri"/>
        </w:rPr>
        <w:t>Predračunska in obračunska količina opravljenih storitev javne službe za preteklo obračunsko obdobje</w:t>
      </w:r>
      <w:bookmarkEnd w:id="5"/>
      <w:r w:rsidRPr="00AC3D35">
        <w:rPr>
          <w:rFonts w:ascii="Calibri" w:hAnsi="Calibri"/>
        </w:rPr>
        <w:t xml:space="preserve"> </w:t>
      </w:r>
    </w:p>
    <w:p w:rsidR="00087CF4" w:rsidRDefault="00087CF4" w:rsidP="004320BE">
      <w:r>
        <w:t xml:space="preserve">Količina opravljenih storitev se meri po enoti kubični meter prodane vode. Količina prodane vode se  pri večini uporabnikov meri z vodomeri, pri ostalih pa se storitev obračunava po pavšalu oz. normirani porabi, katera je določena z Odlokom in Uredbo. </w:t>
      </w:r>
    </w:p>
    <w:p w:rsidR="00087CF4" w:rsidRDefault="00087CF4" w:rsidP="00AC3D35">
      <w:r>
        <w:t>Predračunska količina opravljenih storitev (načrtovana količina odpadne komunalne vode) za leto 2015 je 110.000 m</w:t>
      </w:r>
      <w:r w:rsidRPr="00D2359F">
        <w:rPr>
          <w:vertAlign w:val="superscript"/>
        </w:rPr>
        <w:t>3</w:t>
      </w:r>
      <w:r>
        <w:t xml:space="preserve">, obračunska količina opravljenih storitev 2015 (dejanska količina prodane količine odpadne vode v letu 2016) je bila manjša (98.179,00 m3). </w:t>
      </w:r>
    </w:p>
    <w:p w:rsidR="00087CF4" w:rsidRDefault="00087CF4" w:rsidP="00AC3D35"/>
    <w:p w:rsidR="00087CF4" w:rsidRDefault="00087CF4" w:rsidP="00D2359F">
      <w:pPr>
        <w:pStyle w:val="Caption"/>
        <w:keepNext/>
      </w:pPr>
      <w:r>
        <w:t xml:space="preserve">Preglednica </w:t>
      </w:r>
      <w:fldSimple w:instr=" SEQ Preglednica \* ARABIC ">
        <w:r>
          <w:rPr>
            <w:noProof/>
          </w:rPr>
          <w:t>1</w:t>
        </w:r>
      </w:fldSimple>
      <w:r>
        <w:t>: Prodana odpadna voda (obračunske količine) v letih 2013 in 2016</w:t>
      </w:r>
    </w:p>
    <w:tbl>
      <w:tblPr>
        <w:tblW w:w="3940" w:type="dxa"/>
        <w:jc w:val="center"/>
        <w:tblInd w:w="55" w:type="dxa"/>
        <w:tblCellMar>
          <w:left w:w="70" w:type="dxa"/>
          <w:right w:w="70" w:type="dxa"/>
        </w:tblCellMar>
        <w:tblLook w:val="00A0"/>
      </w:tblPr>
      <w:tblGrid>
        <w:gridCol w:w="1167"/>
        <w:gridCol w:w="2773"/>
      </w:tblGrid>
      <w:tr w:rsidR="00087CF4" w:rsidRPr="002A2B2C" w:rsidTr="00770399">
        <w:trPr>
          <w:trHeight w:val="820"/>
          <w:jc w:val="center"/>
        </w:trPr>
        <w:tc>
          <w:tcPr>
            <w:tcW w:w="1167" w:type="dxa"/>
            <w:tcBorders>
              <w:top w:val="single" w:sz="8" w:space="0" w:color="auto"/>
              <w:left w:val="single" w:sz="8" w:space="0" w:color="auto"/>
              <w:bottom w:val="single" w:sz="4" w:space="0" w:color="auto"/>
              <w:right w:val="single" w:sz="4" w:space="0" w:color="auto"/>
            </w:tcBorders>
            <w:shd w:val="clear" w:color="000000" w:fill="4F81BD"/>
            <w:noWrap/>
            <w:vAlign w:val="bottom"/>
          </w:tcPr>
          <w:p w:rsidR="00087CF4" w:rsidRPr="00770399" w:rsidRDefault="00087CF4" w:rsidP="00770399">
            <w:pPr>
              <w:spacing w:after="0" w:line="240" w:lineRule="auto"/>
              <w:jc w:val="center"/>
              <w:rPr>
                <w:b/>
                <w:bCs/>
                <w:color w:val="000000"/>
                <w:lang w:eastAsia="sl-SI"/>
              </w:rPr>
            </w:pPr>
            <w:r w:rsidRPr="00770399">
              <w:rPr>
                <w:b/>
                <w:bCs/>
                <w:color w:val="000000"/>
                <w:lang w:eastAsia="sl-SI"/>
              </w:rPr>
              <w:t xml:space="preserve">Leto </w:t>
            </w:r>
          </w:p>
        </w:tc>
        <w:tc>
          <w:tcPr>
            <w:tcW w:w="2773" w:type="dxa"/>
            <w:tcBorders>
              <w:top w:val="single" w:sz="8" w:space="0" w:color="auto"/>
              <w:left w:val="nil"/>
              <w:bottom w:val="single" w:sz="4" w:space="0" w:color="auto"/>
              <w:right w:val="single" w:sz="8" w:space="0" w:color="auto"/>
            </w:tcBorders>
            <w:shd w:val="clear" w:color="000000" w:fill="4F81BD"/>
            <w:noWrap/>
            <w:vAlign w:val="bottom"/>
          </w:tcPr>
          <w:p w:rsidR="00087CF4" w:rsidRPr="00770399" w:rsidRDefault="00087CF4" w:rsidP="00770399">
            <w:pPr>
              <w:spacing w:after="0" w:line="240" w:lineRule="auto"/>
              <w:jc w:val="center"/>
              <w:rPr>
                <w:b/>
                <w:bCs/>
                <w:color w:val="000000"/>
                <w:lang w:eastAsia="sl-SI"/>
              </w:rPr>
            </w:pPr>
            <w:r>
              <w:rPr>
                <w:b/>
                <w:bCs/>
                <w:color w:val="000000"/>
                <w:lang w:eastAsia="sl-SI"/>
              </w:rPr>
              <w:t xml:space="preserve">Odpadna komunalna voda </w:t>
            </w:r>
            <w:r w:rsidRPr="00770399">
              <w:rPr>
                <w:b/>
                <w:bCs/>
                <w:color w:val="000000"/>
                <w:lang w:eastAsia="sl-SI"/>
              </w:rPr>
              <w:t>/m3</w:t>
            </w:r>
          </w:p>
        </w:tc>
      </w:tr>
      <w:tr w:rsidR="00087CF4" w:rsidRPr="002A2B2C" w:rsidTr="00770399">
        <w:trPr>
          <w:trHeight w:val="432"/>
          <w:jc w:val="center"/>
        </w:trPr>
        <w:tc>
          <w:tcPr>
            <w:tcW w:w="1167" w:type="dxa"/>
            <w:tcBorders>
              <w:top w:val="nil"/>
              <w:left w:val="single" w:sz="8" w:space="0" w:color="auto"/>
              <w:bottom w:val="single" w:sz="4" w:space="0" w:color="auto"/>
              <w:right w:val="single" w:sz="4" w:space="0" w:color="auto"/>
            </w:tcBorders>
            <w:noWrap/>
            <w:vAlign w:val="bottom"/>
          </w:tcPr>
          <w:p w:rsidR="00087CF4" w:rsidRPr="00770399" w:rsidRDefault="00087CF4" w:rsidP="00770399">
            <w:pPr>
              <w:spacing w:after="0" w:line="240" w:lineRule="auto"/>
              <w:jc w:val="center"/>
              <w:rPr>
                <w:color w:val="000000"/>
                <w:lang w:eastAsia="sl-SI"/>
              </w:rPr>
            </w:pPr>
            <w:r w:rsidRPr="00770399">
              <w:rPr>
                <w:color w:val="000000"/>
                <w:lang w:eastAsia="sl-SI"/>
              </w:rPr>
              <w:t>2013</w:t>
            </w:r>
          </w:p>
        </w:tc>
        <w:tc>
          <w:tcPr>
            <w:tcW w:w="2773" w:type="dxa"/>
            <w:tcBorders>
              <w:top w:val="nil"/>
              <w:left w:val="nil"/>
              <w:bottom w:val="single" w:sz="4" w:space="0" w:color="auto"/>
              <w:right w:val="single" w:sz="8" w:space="0" w:color="auto"/>
            </w:tcBorders>
            <w:noWrap/>
            <w:vAlign w:val="bottom"/>
          </w:tcPr>
          <w:p w:rsidR="00087CF4" w:rsidRPr="00770399" w:rsidRDefault="00087CF4" w:rsidP="00770399">
            <w:pPr>
              <w:spacing w:after="0" w:line="240" w:lineRule="auto"/>
              <w:jc w:val="center"/>
              <w:rPr>
                <w:color w:val="000000"/>
                <w:lang w:eastAsia="sl-SI"/>
              </w:rPr>
            </w:pPr>
            <w:r w:rsidRPr="00770399">
              <w:rPr>
                <w:color w:val="000000"/>
                <w:lang w:eastAsia="sl-SI"/>
              </w:rPr>
              <w:t>163.210</w:t>
            </w:r>
          </w:p>
        </w:tc>
      </w:tr>
      <w:tr w:rsidR="00087CF4" w:rsidRPr="002A2B2C" w:rsidTr="00811117">
        <w:trPr>
          <w:trHeight w:val="453"/>
          <w:jc w:val="center"/>
        </w:trPr>
        <w:tc>
          <w:tcPr>
            <w:tcW w:w="1167" w:type="dxa"/>
            <w:tcBorders>
              <w:top w:val="nil"/>
              <w:left w:val="single" w:sz="8" w:space="0" w:color="auto"/>
              <w:bottom w:val="nil"/>
              <w:right w:val="single" w:sz="4" w:space="0" w:color="auto"/>
            </w:tcBorders>
            <w:noWrap/>
            <w:vAlign w:val="bottom"/>
          </w:tcPr>
          <w:p w:rsidR="00087CF4" w:rsidRPr="00770399" w:rsidRDefault="00087CF4" w:rsidP="00770399">
            <w:pPr>
              <w:spacing w:after="0" w:line="240" w:lineRule="auto"/>
              <w:jc w:val="center"/>
              <w:rPr>
                <w:color w:val="000000"/>
                <w:lang w:eastAsia="sl-SI"/>
              </w:rPr>
            </w:pPr>
            <w:r>
              <w:rPr>
                <w:color w:val="000000"/>
                <w:lang w:eastAsia="sl-SI"/>
              </w:rPr>
              <w:t>2014</w:t>
            </w:r>
          </w:p>
        </w:tc>
        <w:tc>
          <w:tcPr>
            <w:tcW w:w="2773" w:type="dxa"/>
            <w:tcBorders>
              <w:top w:val="nil"/>
              <w:left w:val="nil"/>
              <w:bottom w:val="nil"/>
              <w:right w:val="single" w:sz="8" w:space="0" w:color="auto"/>
            </w:tcBorders>
            <w:noWrap/>
            <w:vAlign w:val="bottom"/>
          </w:tcPr>
          <w:p w:rsidR="00087CF4" w:rsidRPr="00770399" w:rsidRDefault="00087CF4" w:rsidP="00770399">
            <w:pPr>
              <w:spacing w:after="0" w:line="240" w:lineRule="auto"/>
              <w:jc w:val="center"/>
              <w:rPr>
                <w:color w:val="000000"/>
                <w:lang w:eastAsia="sl-SI"/>
              </w:rPr>
            </w:pPr>
            <w:r>
              <w:rPr>
                <w:color w:val="000000"/>
                <w:lang w:eastAsia="sl-SI"/>
              </w:rPr>
              <w:t>82.161</w:t>
            </w:r>
          </w:p>
        </w:tc>
      </w:tr>
      <w:tr w:rsidR="00087CF4" w:rsidRPr="002A2B2C" w:rsidTr="00811117">
        <w:trPr>
          <w:trHeight w:val="453"/>
          <w:jc w:val="center"/>
        </w:trPr>
        <w:tc>
          <w:tcPr>
            <w:tcW w:w="1167" w:type="dxa"/>
            <w:tcBorders>
              <w:top w:val="nil"/>
              <w:left w:val="single" w:sz="8" w:space="0" w:color="auto"/>
              <w:bottom w:val="nil"/>
              <w:right w:val="single" w:sz="4" w:space="0" w:color="auto"/>
            </w:tcBorders>
            <w:noWrap/>
            <w:vAlign w:val="bottom"/>
          </w:tcPr>
          <w:p w:rsidR="00087CF4" w:rsidRDefault="00087CF4" w:rsidP="00770399">
            <w:pPr>
              <w:spacing w:after="0" w:line="240" w:lineRule="auto"/>
              <w:jc w:val="center"/>
              <w:rPr>
                <w:color w:val="000000"/>
                <w:lang w:eastAsia="sl-SI"/>
              </w:rPr>
            </w:pPr>
            <w:r>
              <w:rPr>
                <w:color w:val="000000"/>
                <w:lang w:eastAsia="sl-SI"/>
              </w:rPr>
              <w:t>2015</w:t>
            </w:r>
          </w:p>
        </w:tc>
        <w:tc>
          <w:tcPr>
            <w:tcW w:w="2773" w:type="dxa"/>
            <w:tcBorders>
              <w:top w:val="nil"/>
              <w:left w:val="nil"/>
              <w:bottom w:val="nil"/>
              <w:right w:val="single" w:sz="8" w:space="0" w:color="auto"/>
            </w:tcBorders>
            <w:noWrap/>
            <w:vAlign w:val="bottom"/>
          </w:tcPr>
          <w:p w:rsidR="00087CF4" w:rsidRDefault="00087CF4" w:rsidP="00770399">
            <w:pPr>
              <w:spacing w:after="0" w:line="240" w:lineRule="auto"/>
              <w:jc w:val="center"/>
              <w:rPr>
                <w:color w:val="000000"/>
                <w:lang w:eastAsia="sl-SI"/>
              </w:rPr>
            </w:pPr>
            <w:r>
              <w:rPr>
                <w:color w:val="000000"/>
                <w:lang w:eastAsia="sl-SI"/>
              </w:rPr>
              <w:t>98.179</w:t>
            </w:r>
          </w:p>
        </w:tc>
      </w:tr>
      <w:tr w:rsidR="00087CF4" w:rsidRPr="002A2B2C" w:rsidTr="00770399">
        <w:trPr>
          <w:trHeight w:val="453"/>
          <w:jc w:val="center"/>
        </w:trPr>
        <w:tc>
          <w:tcPr>
            <w:tcW w:w="1167" w:type="dxa"/>
            <w:tcBorders>
              <w:top w:val="nil"/>
              <w:left w:val="single" w:sz="8" w:space="0" w:color="auto"/>
              <w:bottom w:val="single" w:sz="8" w:space="0" w:color="auto"/>
              <w:right w:val="single" w:sz="4" w:space="0" w:color="auto"/>
            </w:tcBorders>
            <w:noWrap/>
            <w:vAlign w:val="bottom"/>
          </w:tcPr>
          <w:p w:rsidR="00087CF4" w:rsidRPr="00770399" w:rsidRDefault="00087CF4" w:rsidP="00770399">
            <w:pPr>
              <w:spacing w:after="0" w:line="240" w:lineRule="auto"/>
              <w:jc w:val="center"/>
              <w:rPr>
                <w:color w:val="000000"/>
                <w:lang w:eastAsia="sl-SI"/>
              </w:rPr>
            </w:pPr>
            <w:r>
              <w:rPr>
                <w:color w:val="000000"/>
                <w:lang w:eastAsia="sl-SI"/>
              </w:rPr>
              <w:t>2016</w:t>
            </w:r>
          </w:p>
        </w:tc>
        <w:tc>
          <w:tcPr>
            <w:tcW w:w="2773" w:type="dxa"/>
            <w:tcBorders>
              <w:top w:val="nil"/>
              <w:left w:val="nil"/>
              <w:bottom w:val="single" w:sz="8" w:space="0" w:color="auto"/>
              <w:right w:val="single" w:sz="8" w:space="0" w:color="auto"/>
            </w:tcBorders>
            <w:noWrap/>
            <w:vAlign w:val="bottom"/>
          </w:tcPr>
          <w:p w:rsidR="00087CF4" w:rsidRDefault="00087CF4" w:rsidP="00770399">
            <w:pPr>
              <w:spacing w:after="0" w:line="240" w:lineRule="auto"/>
              <w:jc w:val="center"/>
              <w:rPr>
                <w:color w:val="000000"/>
                <w:lang w:eastAsia="sl-SI"/>
              </w:rPr>
            </w:pPr>
            <w:r>
              <w:rPr>
                <w:color w:val="000000"/>
                <w:lang w:eastAsia="sl-SI"/>
              </w:rPr>
              <w:t>100.000 (planirano)</w:t>
            </w:r>
          </w:p>
        </w:tc>
      </w:tr>
    </w:tbl>
    <w:p w:rsidR="00087CF4" w:rsidRPr="00D2359F" w:rsidRDefault="00087CF4" w:rsidP="00D2359F"/>
    <w:p w:rsidR="00087CF4" w:rsidRPr="00AC3D35" w:rsidRDefault="00087CF4" w:rsidP="00770399">
      <w:pPr>
        <w:pStyle w:val="Heading2"/>
        <w:rPr>
          <w:rFonts w:ascii="Calibri" w:hAnsi="Calibri"/>
        </w:rPr>
      </w:pPr>
      <w:bookmarkStart w:id="6" w:name="_Toc416257815"/>
      <w:r w:rsidRPr="00AC3D35">
        <w:rPr>
          <w:rFonts w:ascii="Calibri" w:hAnsi="Calibri"/>
        </w:rPr>
        <w:t>Predračunski in obračunski stroški izvajanja storitev posamezne javne službe za preteklo obračunsko obdobje</w:t>
      </w:r>
      <w:bookmarkEnd w:id="6"/>
    </w:p>
    <w:p w:rsidR="00087CF4" w:rsidRDefault="00087CF4" w:rsidP="00295557">
      <w:r>
        <w:t xml:space="preserve">Predračunski in obračunski stroški cene infrastrukture in cene storitev »čiščenje komunalne odpadne vode« so za leto 2015 podani v preglednici 2. </w:t>
      </w:r>
    </w:p>
    <w:p w:rsidR="00087CF4" w:rsidRDefault="00087CF4" w:rsidP="00295557">
      <w:r>
        <w:t>Znotraj posamezne postavke stroškov storitev in infrastrukture so stroški podani po stolpcih glede na zahtevane elemente cene iz 16. člena Uredbe. Sodila za razvrstitev skupnih stroškov po storitvah gospodarske javne službe  in opis posameznih kategorij stroškov so podani v točki 2.17.</w:t>
      </w:r>
    </w:p>
    <w:p w:rsidR="00087CF4" w:rsidRPr="00BE4F15" w:rsidRDefault="00087CF4" w:rsidP="003B70F7">
      <w:r w:rsidRPr="00F03723">
        <w:rPr>
          <w:color w:val="000000"/>
        </w:rPr>
        <w:t xml:space="preserve">Skupni obračunski stroški povezani z omrežnino in </w:t>
      </w:r>
      <w:r>
        <w:rPr>
          <w:color w:val="000000"/>
        </w:rPr>
        <w:t>čiščenje</w:t>
      </w:r>
      <w:r w:rsidRPr="00F03723">
        <w:rPr>
          <w:color w:val="000000"/>
        </w:rPr>
        <w:t xml:space="preserve">m odpadne vode so bili v letu </w:t>
      </w:r>
      <w:r>
        <w:rPr>
          <w:color w:val="000000"/>
        </w:rPr>
        <w:t>2015</w:t>
      </w:r>
      <w:r w:rsidRPr="00F03723">
        <w:rPr>
          <w:color w:val="000000"/>
        </w:rPr>
        <w:t xml:space="preserve"> </w:t>
      </w:r>
      <w:r>
        <w:rPr>
          <w:color w:val="000000"/>
        </w:rPr>
        <w:t>višji</w:t>
      </w:r>
      <w:r w:rsidRPr="00F03723">
        <w:rPr>
          <w:color w:val="000000"/>
        </w:rPr>
        <w:t xml:space="preserve"> </w:t>
      </w:r>
      <w:r>
        <w:rPr>
          <w:color w:val="000000"/>
        </w:rPr>
        <w:t>od predračunskih stroškov.</w:t>
      </w:r>
    </w:p>
    <w:p w:rsidR="00087CF4" w:rsidRDefault="00087CF4" w:rsidP="00295557">
      <w:pPr>
        <w:pStyle w:val="Caption"/>
      </w:pPr>
      <w:r>
        <w:t xml:space="preserve">Preglednica </w:t>
      </w:r>
      <w:fldSimple w:instr=" SEQ Preglednica \* ARABIC ">
        <w:r>
          <w:rPr>
            <w:noProof/>
          </w:rPr>
          <w:t>2</w:t>
        </w:r>
      </w:fldSimple>
      <w:r>
        <w:rPr>
          <w:noProof/>
        </w:rPr>
        <w:t>:</w:t>
      </w:r>
      <w:r>
        <w:t xml:space="preserve"> Obračunski in predračunski stroški za leto 2015</w:t>
      </w:r>
    </w:p>
    <w:tbl>
      <w:tblPr>
        <w:tblW w:w="9880" w:type="dxa"/>
        <w:tblInd w:w="55" w:type="dxa"/>
        <w:tblCellMar>
          <w:left w:w="70" w:type="dxa"/>
          <w:right w:w="70" w:type="dxa"/>
        </w:tblCellMar>
        <w:tblLook w:val="00A0"/>
      </w:tblPr>
      <w:tblGrid>
        <w:gridCol w:w="3280"/>
        <w:gridCol w:w="2500"/>
        <w:gridCol w:w="1960"/>
        <w:gridCol w:w="2140"/>
      </w:tblGrid>
      <w:tr w:rsidR="00087CF4" w:rsidRPr="002A2B2C" w:rsidTr="00E6700B">
        <w:trPr>
          <w:trHeight w:val="735"/>
        </w:trPr>
        <w:tc>
          <w:tcPr>
            <w:tcW w:w="3280" w:type="dxa"/>
            <w:tcBorders>
              <w:top w:val="single" w:sz="8" w:space="0" w:color="auto"/>
              <w:left w:val="single" w:sz="8" w:space="0" w:color="auto"/>
              <w:bottom w:val="single" w:sz="8" w:space="0" w:color="auto"/>
              <w:right w:val="nil"/>
            </w:tcBorders>
            <w:shd w:val="clear" w:color="000000" w:fill="4F81BD"/>
            <w:noWrap/>
            <w:vAlign w:val="bottom"/>
          </w:tcPr>
          <w:p w:rsidR="00087CF4" w:rsidRPr="00E6700B" w:rsidRDefault="00087CF4" w:rsidP="00E6700B">
            <w:pPr>
              <w:spacing w:after="0" w:line="240" w:lineRule="auto"/>
              <w:jc w:val="center"/>
              <w:rPr>
                <w:b/>
                <w:bCs/>
                <w:color w:val="000000"/>
                <w:lang w:eastAsia="sl-SI"/>
              </w:rPr>
            </w:pPr>
            <w:r w:rsidRPr="00E6700B">
              <w:rPr>
                <w:b/>
                <w:bCs/>
                <w:color w:val="000000"/>
                <w:lang w:eastAsia="sl-SI"/>
              </w:rPr>
              <w:t>A Omrežnina - stroški</w:t>
            </w:r>
          </w:p>
        </w:tc>
        <w:tc>
          <w:tcPr>
            <w:tcW w:w="2500" w:type="dxa"/>
            <w:tcBorders>
              <w:top w:val="single" w:sz="8" w:space="0" w:color="auto"/>
              <w:left w:val="nil"/>
              <w:bottom w:val="single" w:sz="8" w:space="0" w:color="auto"/>
              <w:right w:val="nil"/>
            </w:tcBorders>
            <w:shd w:val="clear" w:color="000000" w:fill="4F81BD"/>
            <w:vAlign w:val="bottom"/>
          </w:tcPr>
          <w:p w:rsidR="00087CF4" w:rsidRPr="00E6700B" w:rsidRDefault="00087CF4" w:rsidP="001F7FDD">
            <w:pPr>
              <w:spacing w:after="0" w:line="240" w:lineRule="auto"/>
              <w:jc w:val="center"/>
              <w:rPr>
                <w:b/>
                <w:bCs/>
                <w:color w:val="000000"/>
                <w:lang w:eastAsia="sl-SI"/>
              </w:rPr>
            </w:pPr>
            <w:r>
              <w:rPr>
                <w:b/>
                <w:bCs/>
                <w:color w:val="000000"/>
                <w:lang w:eastAsia="sl-SI"/>
              </w:rPr>
              <w:t>Predračunski stroški 2015</w:t>
            </w:r>
          </w:p>
        </w:tc>
        <w:tc>
          <w:tcPr>
            <w:tcW w:w="1960" w:type="dxa"/>
            <w:tcBorders>
              <w:top w:val="single" w:sz="8" w:space="0" w:color="auto"/>
              <w:left w:val="nil"/>
              <w:bottom w:val="single" w:sz="8" w:space="0" w:color="auto"/>
              <w:right w:val="nil"/>
            </w:tcBorders>
            <w:shd w:val="clear" w:color="000000" w:fill="4F81BD"/>
            <w:vAlign w:val="bottom"/>
          </w:tcPr>
          <w:p w:rsidR="00087CF4" w:rsidRPr="00E6700B" w:rsidRDefault="00087CF4" w:rsidP="00E6700B">
            <w:pPr>
              <w:spacing w:after="0" w:line="240" w:lineRule="auto"/>
              <w:jc w:val="center"/>
              <w:rPr>
                <w:b/>
                <w:bCs/>
                <w:color w:val="000000"/>
                <w:lang w:eastAsia="sl-SI"/>
              </w:rPr>
            </w:pPr>
            <w:r w:rsidRPr="00E6700B">
              <w:rPr>
                <w:b/>
                <w:bCs/>
                <w:color w:val="000000"/>
                <w:lang w:eastAsia="sl-SI"/>
              </w:rPr>
              <w:t xml:space="preserve">Obračunski stroški </w:t>
            </w:r>
            <w:r>
              <w:rPr>
                <w:b/>
                <w:bCs/>
                <w:color w:val="000000"/>
                <w:lang w:eastAsia="sl-SI"/>
              </w:rPr>
              <w:t>2015</w:t>
            </w:r>
          </w:p>
        </w:tc>
        <w:tc>
          <w:tcPr>
            <w:tcW w:w="2140" w:type="dxa"/>
            <w:tcBorders>
              <w:top w:val="single" w:sz="8" w:space="0" w:color="auto"/>
              <w:left w:val="nil"/>
              <w:bottom w:val="single" w:sz="8" w:space="0" w:color="auto"/>
              <w:right w:val="nil"/>
            </w:tcBorders>
            <w:shd w:val="clear" w:color="000000" w:fill="4F81BD"/>
            <w:vAlign w:val="bottom"/>
          </w:tcPr>
          <w:p w:rsidR="00087CF4" w:rsidRPr="00E6700B" w:rsidRDefault="00087CF4" w:rsidP="00E6700B">
            <w:pPr>
              <w:spacing w:after="0" w:line="240" w:lineRule="auto"/>
              <w:jc w:val="center"/>
              <w:rPr>
                <w:b/>
                <w:bCs/>
                <w:color w:val="000000"/>
                <w:lang w:eastAsia="sl-SI"/>
              </w:rPr>
            </w:pPr>
            <w:r w:rsidRPr="00E6700B">
              <w:rPr>
                <w:b/>
                <w:bCs/>
                <w:color w:val="000000"/>
                <w:lang w:eastAsia="sl-SI"/>
              </w:rPr>
              <w:t>Indeks OS/PS</w:t>
            </w:r>
          </w:p>
        </w:tc>
      </w:tr>
      <w:tr w:rsidR="00087CF4" w:rsidRPr="002A2B2C" w:rsidTr="00E6700B">
        <w:trPr>
          <w:trHeight w:val="735"/>
        </w:trPr>
        <w:tc>
          <w:tcPr>
            <w:tcW w:w="3280" w:type="dxa"/>
            <w:tcBorders>
              <w:top w:val="nil"/>
              <w:left w:val="single" w:sz="4" w:space="0" w:color="auto"/>
              <w:bottom w:val="single" w:sz="4" w:space="0" w:color="auto"/>
              <w:right w:val="single" w:sz="4" w:space="0" w:color="auto"/>
            </w:tcBorders>
            <w:noWrap/>
            <w:vAlign w:val="bottom"/>
          </w:tcPr>
          <w:p w:rsidR="00087CF4" w:rsidRPr="00E6700B" w:rsidRDefault="00087CF4" w:rsidP="00E6700B">
            <w:pPr>
              <w:spacing w:after="0" w:line="240" w:lineRule="auto"/>
              <w:jc w:val="center"/>
              <w:rPr>
                <w:color w:val="000000"/>
                <w:lang w:eastAsia="sl-SI"/>
              </w:rPr>
            </w:pPr>
            <w:r w:rsidRPr="00E6700B">
              <w:rPr>
                <w:color w:val="000000"/>
                <w:lang w:eastAsia="sl-SI"/>
              </w:rPr>
              <w:t>Amortizacija</w:t>
            </w:r>
          </w:p>
        </w:tc>
        <w:tc>
          <w:tcPr>
            <w:tcW w:w="2500" w:type="dxa"/>
            <w:tcBorders>
              <w:top w:val="nil"/>
              <w:left w:val="nil"/>
              <w:bottom w:val="single" w:sz="4" w:space="0" w:color="auto"/>
              <w:right w:val="single" w:sz="4" w:space="0" w:color="auto"/>
            </w:tcBorders>
            <w:vAlign w:val="bottom"/>
          </w:tcPr>
          <w:p w:rsidR="00087CF4" w:rsidRPr="00E6700B" w:rsidRDefault="00087CF4" w:rsidP="00E6700B">
            <w:pPr>
              <w:spacing w:after="0" w:line="240" w:lineRule="auto"/>
              <w:jc w:val="center"/>
              <w:rPr>
                <w:b/>
                <w:bCs/>
                <w:color w:val="000000"/>
                <w:lang w:eastAsia="sl-SI"/>
              </w:rPr>
            </w:pPr>
            <w:r>
              <w:rPr>
                <w:b/>
                <w:bCs/>
                <w:color w:val="000000"/>
                <w:lang w:eastAsia="sl-SI"/>
              </w:rPr>
              <w:t>4.489,84</w:t>
            </w:r>
          </w:p>
        </w:tc>
        <w:tc>
          <w:tcPr>
            <w:tcW w:w="1960" w:type="dxa"/>
            <w:tcBorders>
              <w:top w:val="nil"/>
              <w:left w:val="nil"/>
              <w:bottom w:val="single" w:sz="4" w:space="0" w:color="auto"/>
              <w:right w:val="single" w:sz="4" w:space="0" w:color="auto"/>
            </w:tcBorders>
            <w:vAlign w:val="bottom"/>
          </w:tcPr>
          <w:p w:rsidR="00087CF4" w:rsidRPr="00E6700B" w:rsidRDefault="00087CF4" w:rsidP="00E6700B">
            <w:pPr>
              <w:spacing w:after="0" w:line="240" w:lineRule="auto"/>
              <w:jc w:val="center"/>
              <w:rPr>
                <w:b/>
                <w:bCs/>
                <w:color w:val="000000"/>
                <w:lang w:eastAsia="sl-SI"/>
              </w:rPr>
            </w:pPr>
            <w:r>
              <w:rPr>
                <w:b/>
                <w:bCs/>
                <w:color w:val="000000"/>
                <w:lang w:eastAsia="sl-SI"/>
              </w:rPr>
              <w:t>4.065,60</w:t>
            </w:r>
          </w:p>
        </w:tc>
        <w:tc>
          <w:tcPr>
            <w:tcW w:w="2140" w:type="dxa"/>
            <w:tcBorders>
              <w:top w:val="nil"/>
              <w:left w:val="nil"/>
              <w:bottom w:val="single" w:sz="4" w:space="0" w:color="auto"/>
              <w:right w:val="nil"/>
            </w:tcBorders>
            <w:vAlign w:val="bottom"/>
          </w:tcPr>
          <w:p w:rsidR="00087CF4" w:rsidRPr="00E6700B" w:rsidRDefault="00087CF4" w:rsidP="00E6700B">
            <w:pPr>
              <w:spacing w:after="0" w:line="240" w:lineRule="auto"/>
              <w:jc w:val="center"/>
              <w:rPr>
                <w:b/>
                <w:bCs/>
                <w:color w:val="000000"/>
                <w:lang w:eastAsia="sl-SI"/>
              </w:rPr>
            </w:pPr>
            <w:r>
              <w:rPr>
                <w:b/>
                <w:bCs/>
                <w:color w:val="000000"/>
                <w:lang w:eastAsia="sl-SI"/>
              </w:rPr>
              <w:t>0,91</w:t>
            </w:r>
          </w:p>
        </w:tc>
      </w:tr>
      <w:tr w:rsidR="00087CF4" w:rsidRPr="002A2B2C" w:rsidTr="00233789">
        <w:trPr>
          <w:trHeight w:val="556"/>
        </w:trPr>
        <w:tc>
          <w:tcPr>
            <w:tcW w:w="3280" w:type="dxa"/>
            <w:tcBorders>
              <w:top w:val="nil"/>
              <w:left w:val="single" w:sz="4" w:space="0" w:color="auto"/>
              <w:bottom w:val="nil"/>
              <w:right w:val="single" w:sz="4" w:space="0" w:color="auto"/>
            </w:tcBorders>
            <w:noWrap/>
            <w:vAlign w:val="bottom"/>
          </w:tcPr>
          <w:p w:rsidR="00087CF4" w:rsidRPr="00E6700B" w:rsidRDefault="00087CF4" w:rsidP="00E6700B">
            <w:pPr>
              <w:spacing w:after="0" w:line="240" w:lineRule="auto"/>
              <w:jc w:val="center"/>
              <w:rPr>
                <w:b/>
                <w:bCs/>
                <w:color w:val="000000"/>
                <w:lang w:eastAsia="sl-SI"/>
              </w:rPr>
            </w:pPr>
            <w:r w:rsidRPr="00E6700B">
              <w:rPr>
                <w:b/>
                <w:bCs/>
                <w:color w:val="000000"/>
                <w:lang w:eastAsia="sl-SI"/>
              </w:rPr>
              <w:t>Skupaj stroški omrežnina</w:t>
            </w:r>
          </w:p>
        </w:tc>
        <w:tc>
          <w:tcPr>
            <w:tcW w:w="2500" w:type="dxa"/>
            <w:tcBorders>
              <w:top w:val="nil"/>
              <w:left w:val="nil"/>
              <w:bottom w:val="nil"/>
              <w:right w:val="single" w:sz="4" w:space="0" w:color="auto"/>
            </w:tcBorders>
            <w:vAlign w:val="bottom"/>
          </w:tcPr>
          <w:p w:rsidR="00087CF4" w:rsidRPr="00E6700B" w:rsidRDefault="00087CF4" w:rsidP="00E6700B">
            <w:pPr>
              <w:spacing w:after="0" w:line="240" w:lineRule="auto"/>
              <w:jc w:val="center"/>
              <w:rPr>
                <w:b/>
                <w:bCs/>
                <w:color w:val="000000"/>
                <w:lang w:eastAsia="sl-SI"/>
              </w:rPr>
            </w:pPr>
            <w:r>
              <w:rPr>
                <w:b/>
                <w:bCs/>
                <w:color w:val="000000"/>
                <w:lang w:eastAsia="sl-SI"/>
              </w:rPr>
              <w:t>4.489,84</w:t>
            </w:r>
          </w:p>
        </w:tc>
        <w:tc>
          <w:tcPr>
            <w:tcW w:w="1960" w:type="dxa"/>
            <w:tcBorders>
              <w:top w:val="nil"/>
              <w:left w:val="nil"/>
              <w:bottom w:val="nil"/>
              <w:right w:val="single" w:sz="4" w:space="0" w:color="auto"/>
            </w:tcBorders>
            <w:vAlign w:val="bottom"/>
          </w:tcPr>
          <w:p w:rsidR="00087CF4" w:rsidRPr="00E6700B" w:rsidRDefault="00087CF4" w:rsidP="00E6700B">
            <w:pPr>
              <w:spacing w:after="0" w:line="240" w:lineRule="auto"/>
              <w:jc w:val="center"/>
              <w:rPr>
                <w:b/>
                <w:bCs/>
                <w:color w:val="000000"/>
                <w:lang w:eastAsia="sl-SI"/>
              </w:rPr>
            </w:pPr>
            <w:r>
              <w:rPr>
                <w:b/>
                <w:bCs/>
                <w:color w:val="000000"/>
                <w:lang w:eastAsia="sl-SI"/>
              </w:rPr>
              <w:t>4.065,60</w:t>
            </w:r>
          </w:p>
        </w:tc>
        <w:tc>
          <w:tcPr>
            <w:tcW w:w="2140" w:type="dxa"/>
            <w:tcBorders>
              <w:top w:val="nil"/>
              <w:left w:val="nil"/>
              <w:bottom w:val="nil"/>
              <w:right w:val="nil"/>
            </w:tcBorders>
            <w:vAlign w:val="bottom"/>
          </w:tcPr>
          <w:p w:rsidR="00087CF4" w:rsidRPr="00E6700B" w:rsidRDefault="00087CF4" w:rsidP="00E6700B">
            <w:pPr>
              <w:spacing w:after="0" w:line="240" w:lineRule="auto"/>
              <w:jc w:val="center"/>
              <w:rPr>
                <w:b/>
                <w:bCs/>
                <w:color w:val="000000"/>
                <w:lang w:eastAsia="sl-SI"/>
              </w:rPr>
            </w:pPr>
            <w:r>
              <w:rPr>
                <w:b/>
                <w:bCs/>
                <w:color w:val="000000"/>
                <w:lang w:eastAsia="sl-SI"/>
              </w:rPr>
              <w:t>0,91</w:t>
            </w:r>
          </w:p>
        </w:tc>
      </w:tr>
      <w:tr w:rsidR="00087CF4" w:rsidRPr="002A2B2C" w:rsidTr="00E6700B">
        <w:trPr>
          <w:trHeight w:val="735"/>
        </w:trPr>
        <w:tc>
          <w:tcPr>
            <w:tcW w:w="3280" w:type="dxa"/>
            <w:tcBorders>
              <w:top w:val="single" w:sz="8" w:space="0" w:color="auto"/>
              <w:left w:val="single" w:sz="8" w:space="0" w:color="auto"/>
              <w:bottom w:val="single" w:sz="8" w:space="0" w:color="auto"/>
              <w:right w:val="nil"/>
            </w:tcBorders>
            <w:shd w:val="clear" w:color="000000" w:fill="4F81BD"/>
            <w:noWrap/>
            <w:vAlign w:val="bottom"/>
          </w:tcPr>
          <w:p w:rsidR="00087CF4" w:rsidRPr="00E6700B" w:rsidRDefault="00087CF4" w:rsidP="00813DD8">
            <w:pPr>
              <w:spacing w:after="0" w:line="240" w:lineRule="auto"/>
              <w:jc w:val="center"/>
              <w:rPr>
                <w:b/>
                <w:bCs/>
                <w:color w:val="000000"/>
                <w:lang w:eastAsia="sl-SI"/>
              </w:rPr>
            </w:pPr>
            <w:r w:rsidRPr="00E6700B">
              <w:rPr>
                <w:b/>
                <w:bCs/>
                <w:color w:val="000000"/>
                <w:lang w:eastAsia="sl-SI"/>
              </w:rPr>
              <w:t xml:space="preserve">B </w:t>
            </w:r>
            <w:r>
              <w:rPr>
                <w:b/>
                <w:bCs/>
                <w:color w:val="000000"/>
                <w:lang w:eastAsia="sl-SI"/>
              </w:rPr>
              <w:t>Čiščenje</w:t>
            </w:r>
            <w:r w:rsidRPr="00E6700B">
              <w:rPr>
                <w:b/>
                <w:bCs/>
                <w:color w:val="000000"/>
                <w:lang w:eastAsia="sl-SI"/>
              </w:rPr>
              <w:t xml:space="preserve"> - stroški</w:t>
            </w:r>
          </w:p>
        </w:tc>
        <w:tc>
          <w:tcPr>
            <w:tcW w:w="2500" w:type="dxa"/>
            <w:tcBorders>
              <w:top w:val="single" w:sz="8" w:space="0" w:color="auto"/>
              <w:left w:val="nil"/>
              <w:bottom w:val="single" w:sz="8" w:space="0" w:color="auto"/>
              <w:right w:val="nil"/>
            </w:tcBorders>
            <w:shd w:val="clear" w:color="000000" w:fill="4F81BD"/>
            <w:vAlign w:val="bottom"/>
          </w:tcPr>
          <w:p w:rsidR="00087CF4" w:rsidRPr="00E6700B" w:rsidRDefault="00087CF4" w:rsidP="00E6700B">
            <w:pPr>
              <w:spacing w:after="0" w:line="240" w:lineRule="auto"/>
              <w:jc w:val="center"/>
              <w:rPr>
                <w:b/>
                <w:bCs/>
                <w:color w:val="000000"/>
                <w:lang w:eastAsia="sl-SI"/>
              </w:rPr>
            </w:pPr>
            <w:r w:rsidRPr="00E6700B">
              <w:rPr>
                <w:b/>
                <w:bCs/>
                <w:color w:val="000000"/>
                <w:lang w:eastAsia="sl-SI"/>
              </w:rPr>
              <w:t> </w:t>
            </w:r>
          </w:p>
        </w:tc>
        <w:tc>
          <w:tcPr>
            <w:tcW w:w="1960" w:type="dxa"/>
            <w:tcBorders>
              <w:top w:val="single" w:sz="8" w:space="0" w:color="auto"/>
              <w:left w:val="nil"/>
              <w:bottom w:val="single" w:sz="8" w:space="0" w:color="auto"/>
              <w:right w:val="nil"/>
            </w:tcBorders>
            <w:shd w:val="clear" w:color="000000" w:fill="4F81BD"/>
            <w:vAlign w:val="bottom"/>
          </w:tcPr>
          <w:p w:rsidR="00087CF4" w:rsidRPr="00E6700B" w:rsidRDefault="00087CF4" w:rsidP="00E6700B">
            <w:pPr>
              <w:spacing w:after="0" w:line="240" w:lineRule="auto"/>
              <w:jc w:val="center"/>
              <w:rPr>
                <w:b/>
                <w:bCs/>
                <w:color w:val="000000"/>
                <w:lang w:eastAsia="sl-SI"/>
              </w:rPr>
            </w:pPr>
            <w:r w:rsidRPr="00E6700B">
              <w:rPr>
                <w:b/>
                <w:bCs/>
                <w:color w:val="000000"/>
                <w:lang w:eastAsia="sl-SI"/>
              </w:rPr>
              <w:t> </w:t>
            </w:r>
          </w:p>
        </w:tc>
        <w:tc>
          <w:tcPr>
            <w:tcW w:w="2140" w:type="dxa"/>
            <w:tcBorders>
              <w:top w:val="single" w:sz="8" w:space="0" w:color="auto"/>
              <w:left w:val="nil"/>
              <w:bottom w:val="single" w:sz="8" w:space="0" w:color="auto"/>
              <w:right w:val="nil"/>
            </w:tcBorders>
            <w:shd w:val="clear" w:color="000000" w:fill="4F81BD"/>
            <w:vAlign w:val="bottom"/>
          </w:tcPr>
          <w:p w:rsidR="00087CF4" w:rsidRPr="00E6700B" w:rsidRDefault="00087CF4" w:rsidP="00E6700B">
            <w:pPr>
              <w:spacing w:after="0" w:line="240" w:lineRule="auto"/>
              <w:jc w:val="center"/>
              <w:rPr>
                <w:b/>
                <w:bCs/>
                <w:color w:val="000000"/>
                <w:lang w:eastAsia="sl-SI"/>
              </w:rPr>
            </w:pPr>
            <w:r w:rsidRPr="00E6700B">
              <w:rPr>
                <w:b/>
                <w:bCs/>
                <w:color w:val="000000"/>
                <w:lang w:eastAsia="sl-SI"/>
              </w:rPr>
              <w:t> </w:t>
            </w:r>
          </w:p>
        </w:tc>
      </w:tr>
      <w:tr w:rsidR="00087CF4" w:rsidRPr="002A2B2C" w:rsidTr="00E6700B">
        <w:trPr>
          <w:trHeight w:val="900"/>
        </w:trPr>
        <w:tc>
          <w:tcPr>
            <w:tcW w:w="3280" w:type="dxa"/>
            <w:tcBorders>
              <w:top w:val="nil"/>
              <w:left w:val="single" w:sz="4" w:space="0" w:color="auto"/>
              <w:bottom w:val="single" w:sz="4" w:space="0" w:color="auto"/>
              <w:right w:val="single" w:sz="4" w:space="0" w:color="auto"/>
            </w:tcBorders>
            <w:vAlign w:val="center"/>
          </w:tcPr>
          <w:p w:rsidR="00087CF4" w:rsidRPr="00E6700B" w:rsidRDefault="00087CF4" w:rsidP="00E6700B">
            <w:pPr>
              <w:spacing w:after="0" w:line="240" w:lineRule="auto"/>
              <w:jc w:val="left"/>
              <w:rPr>
                <w:color w:val="000000"/>
                <w:lang w:eastAsia="sl-SI"/>
              </w:rPr>
            </w:pPr>
            <w:r w:rsidRPr="00E6700B">
              <w:rPr>
                <w:color w:val="000000"/>
                <w:lang w:eastAsia="sl-SI"/>
              </w:rPr>
              <w:t>Neposredni stroški materiala in storitev</w:t>
            </w:r>
          </w:p>
        </w:tc>
        <w:tc>
          <w:tcPr>
            <w:tcW w:w="2500" w:type="dxa"/>
            <w:tcBorders>
              <w:top w:val="nil"/>
              <w:left w:val="nil"/>
              <w:bottom w:val="single" w:sz="4" w:space="0" w:color="auto"/>
              <w:right w:val="single" w:sz="4" w:space="0" w:color="auto"/>
            </w:tcBorders>
            <w:vAlign w:val="center"/>
          </w:tcPr>
          <w:p w:rsidR="00087CF4" w:rsidRPr="00E6700B" w:rsidRDefault="00087CF4" w:rsidP="00E6700B">
            <w:pPr>
              <w:spacing w:after="0" w:line="240" w:lineRule="auto"/>
              <w:jc w:val="center"/>
              <w:rPr>
                <w:color w:val="000000"/>
                <w:lang w:eastAsia="sl-SI"/>
              </w:rPr>
            </w:pPr>
            <w:r>
              <w:rPr>
                <w:color w:val="000000"/>
                <w:lang w:eastAsia="sl-SI"/>
              </w:rPr>
              <w:t>407,20</w:t>
            </w:r>
          </w:p>
        </w:tc>
        <w:tc>
          <w:tcPr>
            <w:tcW w:w="1960" w:type="dxa"/>
            <w:tcBorders>
              <w:top w:val="nil"/>
              <w:left w:val="nil"/>
              <w:bottom w:val="single" w:sz="4" w:space="0" w:color="auto"/>
              <w:right w:val="single" w:sz="4" w:space="0" w:color="auto"/>
            </w:tcBorders>
            <w:noWrap/>
            <w:vAlign w:val="center"/>
          </w:tcPr>
          <w:p w:rsidR="00087CF4" w:rsidRPr="00E6700B" w:rsidRDefault="00087CF4" w:rsidP="00E6700B">
            <w:pPr>
              <w:spacing w:after="0" w:line="240" w:lineRule="auto"/>
              <w:jc w:val="center"/>
              <w:rPr>
                <w:color w:val="000000"/>
                <w:lang w:eastAsia="sl-SI"/>
              </w:rPr>
            </w:pPr>
            <w:r>
              <w:rPr>
                <w:color w:val="000000"/>
                <w:lang w:eastAsia="sl-SI"/>
              </w:rPr>
              <w:t>2.604,68</w:t>
            </w:r>
          </w:p>
        </w:tc>
        <w:tc>
          <w:tcPr>
            <w:tcW w:w="2140" w:type="dxa"/>
            <w:tcBorders>
              <w:top w:val="nil"/>
              <w:left w:val="nil"/>
              <w:bottom w:val="single" w:sz="4" w:space="0" w:color="auto"/>
              <w:right w:val="nil"/>
            </w:tcBorders>
            <w:noWrap/>
            <w:vAlign w:val="center"/>
          </w:tcPr>
          <w:p w:rsidR="00087CF4" w:rsidRPr="00E6700B" w:rsidRDefault="00087CF4" w:rsidP="00E6700B">
            <w:pPr>
              <w:spacing w:after="0" w:line="240" w:lineRule="auto"/>
              <w:jc w:val="center"/>
              <w:rPr>
                <w:color w:val="000000"/>
                <w:lang w:eastAsia="sl-SI"/>
              </w:rPr>
            </w:pPr>
            <w:r>
              <w:rPr>
                <w:color w:val="000000"/>
                <w:lang w:eastAsia="sl-SI"/>
              </w:rPr>
              <w:t>6,39</w:t>
            </w:r>
          </w:p>
        </w:tc>
      </w:tr>
      <w:tr w:rsidR="00087CF4" w:rsidRPr="002A2B2C" w:rsidTr="00E6700B">
        <w:trPr>
          <w:trHeight w:val="900"/>
        </w:trPr>
        <w:tc>
          <w:tcPr>
            <w:tcW w:w="3280" w:type="dxa"/>
            <w:tcBorders>
              <w:top w:val="nil"/>
              <w:left w:val="single" w:sz="4" w:space="0" w:color="auto"/>
              <w:bottom w:val="single" w:sz="4" w:space="0" w:color="auto"/>
              <w:right w:val="single" w:sz="4" w:space="0" w:color="auto"/>
            </w:tcBorders>
            <w:vAlign w:val="center"/>
          </w:tcPr>
          <w:p w:rsidR="00087CF4" w:rsidRPr="00E6700B" w:rsidRDefault="00087CF4" w:rsidP="00E6700B">
            <w:pPr>
              <w:spacing w:after="0" w:line="240" w:lineRule="auto"/>
              <w:jc w:val="left"/>
              <w:rPr>
                <w:color w:val="000000"/>
                <w:lang w:eastAsia="sl-SI"/>
              </w:rPr>
            </w:pPr>
            <w:r w:rsidRPr="00E6700B">
              <w:rPr>
                <w:color w:val="000000"/>
                <w:lang w:eastAsia="sl-SI"/>
              </w:rPr>
              <w:t>Neposredni stroški dela</w:t>
            </w:r>
          </w:p>
        </w:tc>
        <w:tc>
          <w:tcPr>
            <w:tcW w:w="2500" w:type="dxa"/>
            <w:tcBorders>
              <w:top w:val="nil"/>
              <w:left w:val="nil"/>
              <w:bottom w:val="single" w:sz="4" w:space="0" w:color="auto"/>
              <w:right w:val="single" w:sz="4" w:space="0" w:color="auto"/>
            </w:tcBorders>
            <w:vAlign w:val="center"/>
          </w:tcPr>
          <w:p w:rsidR="00087CF4" w:rsidRPr="00E6700B" w:rsidRDefault="00087CF4" w:rsidP="00E6700B">
            <w:pPr>
              <w:spacing w:after="0" w:line="240" w:lineRule="auto"/>
              <w:jc w:val="center"/>
              <w:rPr>
                <w:color w:val="000000"/>
                <w:lang w:eastAsia="sl-SI"/>
              </w:rPr>
            </w:pPr>
            <w:r>
              <w:rPr>
                <w:color w:val="000000"/>
                <w:lang w:eastAsia="sl-SI"/>
              </w:rPr>
              <w:t>2.791,93</w:t>
            </w:r>
          </w:p>
        </w:tc>
        <w:tc>
          <w:tcPr>
            <w:tcW w:w="1960" w:type="dxa"/>
            <w:tcBorders>
              <w:top w:val="nil"/>
              <w:left w:val="nil"/>
              <w:bottom w:val="single" w:sz="4" w:space="0" w:color="auto"/>
              <w:right w:val="single" w:sz="4" w:space="0" w:color="auto"/>
            </w:tcBorders>
            <w:noWrap/>
            <w:vAlign w:val="center"/>
          </w:tcPr>
          <w:p w:rsidR="00087CF4" w:rsidRPr="00E6700B" w:rsidRDefault="00087CF4" w:rsidP="00E6700B">
            <w:pPr>
              <w:spacing w:after="0" w:line="240" w:lineRule="auto"/>
              <w:jc w:val="center"/>
              <w:rPr>
                <w:color w:val="000000"/>
                <w:lang w:eastAsia="sl-SI"/>
              </w:rPr>
            </w:pPr>
            <w:r>
              <w:rPr>
                <w:color w:val="000000"/>
                <w:lang w:eastAsia="sl-SI"/>
              </w:rPr>
              <w:t>12.124,35</w:t>
            </w:r>
          </w:p>
        </w:tc>
        <w:tc>
          <w:tcPr>
            <w:tcW w:w="2140" w:type="dxa"/>
            <w:tcBorders>
              <w:top w:val="nil"/>
              <w:left w:val="nil"/>
              <w:bottom w:val="single" w:sz="4" w:space="0" w:color="auto"/>
              <w:right w:val="nil"/>
            </w:tcBorders>
            <w:noWrap/>
            <w:vAlign w:val="center"/>
          </w:tcPr>
          <w:p w:rsidR="00087CF4" w:rsidRPr="00E6700B" w:rsidRDefault="00087CF4" w:rsidP="001F7FDD">
            <w:pPr>
              <w:spacing w:after="0" w:line="240" w:lineRule="auto"/>
              <w:jc w:val="center"/>
              <w:rPr>
                <w:color w:val="000000"/>
                <w:lang w:eastAsia="sl-SI"/>
              </w:rPr>
            </w:pPr>
            <w:r>
              <w:rPr>
                <w:color w:val="000000"/>
                <w:lang w:eastAsia="sl-SI"/>
              </w:rPr>
              <w:t>4,34</w:t>
            </w:r>
          </w:p>
        </w:tc>
      </w:tr>
      <w:tr w:rsidR="00087CF4" w:rsidRPr="002A2B2C" w:rsidTr="00E6700B">
        <w:trPr>
          <w:trHeight w:val="900"/>
        </w:trPr>
        <w:tc>
          <w:tcPr>
            <w:tcW w:w="3280" w:type="dxa"/>
            <w:tcBorders>
              <w:top w:val="nil"/>
              <w:left w:val="single" w:sz="4" w:space="0" w:color="auto"/>
              <w:bottom w:val="single" w:sz="4" w:space="0" w:color="auto"/>
              <w:right w:val="single" w:sz="4" w:space="0" w:color="auto"/>
            </w:tcBorders>
            <w:vAlign w:val="center"/>
          </w:tcPr>
          <w:p w:rsidR="00087CF4" w:rsidRPr="00E6700B" w:rsidRDefault="00087CF4" w:rsidP="00E6700B">
            <w:pPr>
              <w:spacing w:after="0" w:line="240" w:lineRule="auto"/>
              <w:jc w:val="left"/>
              <w:rPr>
                <w:color w:val="000000"/>
                <w:lang w:eastAsia="sl-SI"/>
              </w:rPr>
            </w:pPr>
            <w:r w:rsidRPr="00E6700B">
              <w:rPr>
                <w:color w:val="000000"/>
                <w:lang w:eastAsia="sl-SI"/>
              </w:rPr>
              <w:t>Drugi neposredni stroški</w:t>
            </w:r>
          </w:p>
        </w:tc>
        <w:tc>
          <w:tcPr>
            <w:tcW w:w="2500" w:type="dxa"/>
            <w:tcBorders>
              <w:top w:val="nil"/>
              <w:left w:val="nil"/>
              <w:bottom w:val="single" w:sz="4" w:space="0" w:color="auto"/>
              <w:right w:val="single" w:sz="4" w:space="0" w:color="auto"/>
            </w:tcBorders>
            <w:vAlign w:val="center"/>
          </w:tcPr>
          <w:p w:rsidR="00087CF4" w:rsidRPr="00E6700B" w:rsidRDefault="00087CF4" w:rsidP="00E6700B">
            <w:pPr>
              <w:spacing w:after="0" w:line="240" w:lineRule="auto"/>
              <w:jc w:val="center"/>
              <w:rPr>
                <w:color w:val="000000"/>
                <w:lang w:eastAsia="sl-SI"/>
              </w:rPr>
            </w:pPr>
            <w:r>
              <w:rPr>
                <w:color w:val="000000"/>
                <w:lang w:eastAsia="sl-SI"/>
              </w:rPr>
              <w:t>31.686,14</w:t>
            </w:r>
          </w:p>
        </w:tc>
        <w:tc>
          <w:tcPr>
            <w:tcW w:w="1960" w:type="dxa"/>
            <w:tcBorders>
              <w:top w:val="nil"/>
              <w:left w:val="nil"/>
              <w:bottom w:val="single" w:sz="4" w:space="0" w:color="auto"/>
              <w:right w:val="single" w:sz="4" w:space="0" w:color="auto"/>
            </w:tcBorders>
            <w:noWrap/>
            <w:vAlign w:val="center"/>
          </w:tcPr>
          <w:p w:rsidR="00087CF4" w:rsidRPr="00E6700B" w:rsidRDefault="00087CF4" w:rsidP="00E6700B">
            <w:pPr>
              <w:spacing w:after="0" w:line="240" w:lineRule="auto"/>
              <w:jc w:val="center"/>
              <w:rPr>
                <w:color w:val="000000"/>
                <w:lang w:eastAsia="sl-SI"/>
              </w:rPr>
            </w:pPr>
            <w:r>
              <w:rPr>
                <w:color w:val="000000"/>
                <w:lang w:eastAsia="sl-SI"/>
              </w:rPr>
              <w:t>31.381,04</w:t>
            </w:r>
          </w:p>
        </w:tc>
        <w:tc>
          <w:tcPr>
            <w:tcW w:w="2140" w:type="dxa"/>
            <w:tcBorders>
              <w:top w:val="nil"/>
              <w:left w:val="nil"/>
              <w:bottom w:val="single" w:sz="4" w:space="0" w:color="auto"/>
              <w:right w:val="nil"/>
            </w:tcBorders>
            <w:noWrap/>
            <w:vAlign w:val="center"/>
          </w:tcPr>
          <w:p w:rsidR="00087CF4" w:rsidRPr="00E6700B" w:rsidRDefault="00087CF4" w:rsidP="00E6700B">
            <w:pPr>
              <w:spacing w:after="0" w:line="240" w:lineRule="auto"/>
              <w:jc w:val="center"/>
              <w:rPr>
                <w:color w:val="000000"/>
                <w:lang w:eastAsia="sl-SI"/>
              </w:rPr>
            </w:pPr>
            <w:r>
              <w:rPr>
                <w:color w:val="000000"/>
                <w:lang w:eastAsia="sl-SI"/>
              </w:rPr>
              <w:t>0,99</w:t>
            </w:r>
          </w:p>
        </w:tc>
      </w:tr>
      <w:tr w:rsidR="00087CF4" w:rsidRPr="002A2B2C" w:rsidTr="00E6700B">
        <w:trPr>
          <w:trHeight w:val="1410"/>
        </w:trPr>
        <w:tc>
          <w:tcPr>
            <w:tcW w:w="3280" w:type="dxa"/>
            <w:tcBorders>
              <w:top w:val="nil"/>
              <w:left w:val="single" w:sz="4" w:space="0" w:color="auto"/>
              <w:bottom w:val="single" w:sz="4" w:space="0" w:color="auto"/>
              <w:right w:val="single" w:sz="4" w:space="0" w:color="auto"/>
            </w:tcBorders>
            <w:vAlign w:val="center"/>
          </w:tcPr>
          <w:p w:rsidR="00087CF4" w:rsidRPr="00E6700B" w:rsidRDefault="00087CF4" w:rsidP="00E6700B">
            <w:pPr>
              <w:spacing w:after="0" w:line="240" w:lineRule="auto"/>
              <w:jc w:val="left"/>
              <w:rPr>
                <w:color w:val="000000"/>
                <w:lang w:eastAsia="sl-SI"/>
              </w:rPr>
            </w:pPr>
            <w:r w:rsidRPr="00E6700B">
              <w:rPr>
                <w:color w:val="000000"/>
                <w:lang w:eastAsia="sl-SI"/>
              </w:rPr>
              <w:t>Splošni (posredni) proizvajalni stroški, ki vključujejo stroške materiala, amortizacije, poslovno potrebnih OS, storitev in dela</w:t>
            </w:r>
          </w:p>
        </w:tc>
        <w:tc>
          <w:tcPr>
            <w:tcW w:w="2500" w:type="dxa"/>
            <w:tcBorders>
              <w:top w:val="nil"/>
              <w:left w:val="nil"/>
              <w:bottom w:val="single" w:sz="4" w:space="0" w:color="auto"/>
              <w:right w:val="single" w:sz="4" w:space="0" w:color="auto"/>
            </w:tcBorders>
            <w:vAlign w:val="center"/>
          </w:tcPr>
          <w:p w:rsidR="00087CF4" w:rsidRPr="00E6700B" w:rsidRDefault="00087CF4" w:rsidP="00E6700B">
            <w:pPr>
              <w:spacing w:after="0" w:line="240" w:lineRule="auto"/>
              <w:jc w:val="center"/>
              <w:rPr>
                <w:color w:val="000000"/>
                <w:lang w:eastAsia="sl-SI"/>
              </w:rPr>
            </w:pPr>
            <w:r>
              <w:rPr>
                <w:color w:val="000000"/>
                <w:lang w:eastAsia="sl-SI"/>
              </w:rPr>
              <w:t>-</w:t>
            </w:r>
          </w:p>
        </w:tc>
        <w:tc>
          <w:tcPr>
            <w:tcW w:w="1960" w:type="dxa"/>
            <w:tcBorders>
              <w:top w:val="nil"/>
              <w:left w:val="nil"/>
              <w:bottom w:val="single" w:sz="4" w:space="0" w:color="auto"/>
              <w:right w:val="single" w:sz="4" w:space="0" w:color="auto"/>
            </w:tcBorders>
            <w:noWrap/>
            <w:vAlign w:val="center"/>
          </w:tcPr>
          <w:p w:rsidR="00087CF4" w:rsidRPr="00E6700B" w:rsidRDefault="00087CF4" w:rsidP="00E6700B">
            <w:pPr>
              <w:spacing w:after="0" w:line="240" w:lineRule="auto"/>
              <w:jc w:val="center"/>
              <w:rPr>
                <w:color w:val="000000"/>
                <w:lang w:eastAsia="sl-SI"/>
              </w:rPr>
            </w:pPr>
            <w:r w:rsidRPr="00E6700B">
              <w:rPr>
                <w:color w:val="000000"/>
                <w:lang w:eastAsia="sl-SI"/>
              </w:rPr>
              <w:t>-</w:t>
            </w:r>
          </w:p>
        </w:tc>
        <w:tc>
          <w:tcPr>
            <w:tcW w:w="2140" w:type="dxa"/>
            <w:tcBorders>
              <w:top w:val="nil"/>
              <w:left w:val="nil"/>
              <w:bottom w:val="single" w:sz="4" w:space="0" w:color="auto"/>
              <w:right w:val="nil"/>
            </w:tcBorders>
            <w:noWrap/>
            <w:vAlign w:val="center"/>
          </w:tcPr>
          <w:p w:rsidR="00087CF4" w:rsidRPr="00E6700B" w:rsidRDefault="00087CF4" w:rsidP="00E6700B">
            <w:pPr>
              <w:spacing w:after="0" w:line="240" w:lineRule="auto"/>
              <w:jc w:val="center"/>
              <w:rPr>
                <w:color w:val="000000"/>
                <w:lang w:eastAsia="sl-SI"/>
              </w:rPr>
            </w:pPr>
            <w:r w:rsidRPr="00E6700B">
              <w:rPr>
                <w:color w:val="000000"/>
                <w:lang w:eastAsia="sl-SI"/>
              </w:rPr>
              <w:t> </w:t>
            </w:r>
          </w:p>
        </w:tc>
      </w:tr>
      <w:tr w:rsidR="00087CF4" w:rsidRPr="002A2B2C" w:rsidTr="00E6700B">
        <w:trPr>
          <w:trHeight w:val="1455"/>
        </w:trPr>
        <w:tc>
          <w:tcPr>
            <w:tcW w:w="3280" w:type="dxa"/>
            <w:tcBorders>
              <w:top w:val="nil"/>
              <w:left w:val="single" w:sz="4" w:space="0" w:color="auto"/>
              <w:bottom w:val="single" w:sz="4" w:space="0" w:color="auto"/>
              <w:right w:val="single" w:sz="4" w:space="0" w:color="auto"/>
            </w:tcBorders>
            <w:vAlign w:val="center"/>
          </w:tcPr>
          <w:p w:rsidR="00087CF4" w:rsidRPr="00E6700B" w:rsidRDefault="00087CF4" w:rsidP="00E6700B">
            <w:pPr>
              <w:spacing w:after="0" w:line="240" w:lineRule="auto"/>
              <w:jc w:val="left"/>
              <w:rPr>
                <w:color w:val="000000"/>
                <w:lang w:eastAsia="sl-SI"/>
              </w:rPr>
            </w:pPr>
            <w:r w:rsidRPr="00E6700B">
              <w:rPr>
                <w:color w:val="000000"/>
                <w:lang w:eastAsia="sl-SI"/>
              </w:rPr>
              <w:t>Splošni nabavno-prodajni stroški, ki vključujejo stroške materiala, amortizacije, poslovno potrebnih OS, storitev in dela</w:t>
            </w:r>
          </w:p>
        </w:tc>
        <w:tc>
          <w:tcPr>
            <w:tcW w:w="2500" w:type="dxa"/>
            <w:tcBorders>
              <w:top w:val="nil"/>
              <w:left w:val="nil"/>
              <w:bottom w:val="single" w:sz="4" w:space="0" w:color="auto"/>
              <w:right w:val="single" w:sz="4" w:space="0" w:color="auto"/>
            </w:tcBorders>
            <w:vAlign w:val="center"/>
          </w:tcPr>
          <w:p w:rsidR="00087CF4" w:rsidRPr="00E6700B" w:rsidRDefault="00087CF4" w:rsidP="00E6700B">
            <w:pPr>
              <w:spacing w:after="0" w:line="240" w:lineRule="auto"/>
              <w:jc w:val="center"/>
              <w:rPr>
                <w:color w:val="000000"/>
                <w:lang w:eastAsia="sl-SI"/>
              </w:rPr>
            </w:pPr>
            <w:r w:rsidRPr="00E6700B">
              <w:rPr>
                <w:color w:val="000000"/>
                <w:lang w:eastAsia="sl-SI"/>
              </w:rPr>
              <w:t>-</w:t>
            </w:r>
          </w:p>
        </w:tc>
        <w:tc>
          <w:tcPr>
            <w:tcW w:w="1960" w:type="dxa"/>
            <w:tcBorders>
              <w:top w:val="nil"/>
              <w:left w:val="nil"/>
              <w:bottom w:val="single" w:sz="4" w:space="0" w:color="auto"/>
              <w:right w:val="single" w:sz="4" w:space="0" w:color="auto"/>
            </w:tcBorders>
            <w:noWrap/>
            <w:vAlign w:val="center"/>
          </w:tcPr>
          <w:p w:rsidR="00087CF4" w:rsidRPr="00E6700B" w:rsidRDefault="00087CF4" w:rsidP="00E6700B">
            <w:pPr>
              <w:spacing w:after="0" w:line="240" w:lineRule="auto"/>
              <w:jc w:val="center"/>
              <w:rPr>
                <w:color w:val="000000"/>
                <w:lang w:eastAsia="sl-SI"/>
              </w:rPr>
            </w:pPr>
            <w:r w:rsidRPr="00E6700B">
              <w:rPr>
                <w:color w:val="000000"/>
                <w:lang w:eastAsia="sl-SI"/>
              </w:rPr>
              <w:t>-</w:t>
            </w:r>
          </w:p>
        </w:tc>
        <w:tc>
          <w:tcPr>
            <w:tcW w:w="2140" w:type="dxa"/>
            <w:tcBorders>
              <w:top w:val="nil"/>
              <w:left w:val="nil"/>
              <w:bottom w:val="single" w:sz="4" w:space="0" w:color="auto"/>
              <w:right w:val="nil"/>
            </w:tcBorders>
            <w:noWrap/>
            <w:vAlign w:val="center"/>
          </w:tcPr>
          <w:p w:rsidR="00087CF4" w:rsidRPr="00E6700B" w:rsidRDefault="00087CF4" w:rsidP="00E6700B">
            <w:pPr>
              <w:spacing w:after="0" w:line="240" w:lineRule="auto"/>
              <w:jc w:val="center"/>
              <w:rPr>
                <w:color w:val="000000"/>
                <w:lang w:eastAsia="sl-SI"/>
              </w:rPr>
            </w:pPr>
            <w:r w:rsidRPr="00E6700B">
              <w:rPr>
                <w:color w:val="000000"/>
                <w:lang w:eastAsia="sl-SI"/>
              </w:rPr>
              <w:t> </w:t>
            </w:r>
          </w:p>
        </w:tc>
      </w:tr>
      <w:tr w:rsidR="00087CF4" w:rsidRPr="002A2B2C" w:rsidTr="00E6700B">
        <w:trPr>
          <w:trHeight w:val="1185"/>
        </w:trPr>
        <w:tc>
          <w:tcPr>
            <w:tcW w:w="3280" w:type="dxa"/>
            <w:tcBorders>
              <w:top w:val="nil"/>
              <w:left w:val="single" w:sz="4" w:space="0" w:color="auto"/>
              <w:bottom w:val="single" w:sz="4" w:space="0" w:color="auto"/>
              <w:right w:val="single" w:sz="4" w:space="0" w:color="auto"/>
            </w:tcBorders>
            <w:vAlign w:val="center"/>
          </w:tcPr>
          <w:p w:rsidR="00087CF4" w:rsidRPr="00E6700B" w:rsidRDefault="00087CF4" w:rsidP="00E6700B">
            <w:pPr>
              <w:spacing w:after="0" w:line="240" w:lineRule="auto"/>
              <w:jc w:val="left"/>
              <w:rPr>
                <w:color w:val="000000"/>
                <w:lang w:eastAsia="sl-SI"/>
              </w:rPr>
            </w:pPr>
            <w:r w:rsidRPr="00E6700B">
              <w:rPr>
                <w:color w:val="000000"/>
                <w:lang w:eastAsia="sl-SI"/>
              </w:rPr>
              <w:t>Splošni upravni stroški, ki vključujejo stroške materiala, amortizacije, poslovno potrebnih OS, storitev in dela</w:t>
            </w:r>
          </w:p>
        </w:tc>
        <w:tc>
          <w:tcPr>
            <w:tcW w:w="2500" w:type="dxa"/>
            <w:tcBorders>
              <w:top w:val="nil"/>
              <w:left w:val="nil"/>
              <w:bottom w:val="single" w:sz="4" w:space="0" w:color="auto"/>
              <w:right w:val="single" w:sz="4" w:space="0" w:color="auto"/>
            </w:tcBorders>
            <w:vAlign w:val="center"/>
          </w:tcPr>
          <w:p w:rsidR="00087CF4" w:rsidRPr="00E6700B" w:rsidRDefault="00087CF4" w:rsidP="00E6700B">
            <w:pPr>
              <w:spacing w:after="0" w:line="240" w:lineRule="auto"/>
              <w:jc w:val="center"/>
              <w:rPr>
                <w:color w:val="000000"/>
                <w:lang w:eastAsia="sl-SI"/>
              </w:rPr>
            </w:pPr>
            <w:r w:rsidRPr="00E6700B">
              <w:rPr>
                <w:color w:val="000000"/>
                <w:lang w:eastAsia="sl-SI"/>
              </w:rPr>
              <w:t>-</w:t>
            </w:r>
          </w:p>
        </w:tc>
        <w:tc>
          <w:tcPr>
            <w:tcW w:w="1960" w:type="dxa"/>
            <w:tcBorders>
              <w:top w:val="nil"/>
              <w:left w:val="nil"/>
              <w:bottom w:val="single" w:sz="4" w:space="0" w:color="auto"/>
              <w:right w:val="single" w:sz="4" w:space="0" w:color="auto"/>
            </w:tcBorders>
            <w:noWrap/>
            <w:vAlign w:val="center"/>
          </w:tcPr>
          <w:p w:rsidR="00087CF4" w:rsidRPr="00E6700B" w:rsidRDefault="00087CF4" w:rsidP="00E6700B">
            <w:pPr>
              <w:spacing w:after="0" w:line="240" w:lineRule="auto"/>
              <w:jc w:val="center"/>
              <w:rPr>
                <w:color w:val="000000"/>
                <w:lang w:eastAsia="sl-SI"/>
              </w:rPr>
            </w:pPr>
            <w:r w:rsidRPr="00E6700B">
              <w:rPr>
                <w:color w:val="000000"/>
                <w:lang w:eastAsia="sl-SI"/>
              </w:rPr>
              <w:t>-</w:t>
            </w:r>
          </w:p>
        </w:tc>
        <w:tc>
          <w:tcPr>
            <w:tcW w:w="2140" w:type="dxa"/>
            <w:tcBorders>
              <w:top w:val="nil"/>
              <w:left w:val="nil"/>
              <w:bottom w:val="single" w:sz="4" w:space="0" w:color="auto"/>
              <w:right w:val="nil"/>
            </w:tcBorders>
            <w:noWrap/>
            <w:vAlign w:val="center"/>
          </w:tcPr>
          <w:p w:rsidR="00087CF4" w:rsidRPr="00E6700B" w:rsidRDefault="00087CF4" w:rsidP="00E6700B">
            <w:pPr>
              <w:spacing w:after="0" w:line="240" w:lineRule="auto"/>
              <w:jc w:val="center"/>
              <w:rPr>
                <w:color w:val="000000"/>
                <w:lang w:eastAsia="sl-SI"/>
              </w:rPr>
            </w:pPr>
            <w:r w:rsidRPr="00E6700B">
              <w:rPr>
                <w:color w:val="000000"/>
                <w:lang w:eastAsia="sl-SI"/>
              </w:rPr>
              <w:t> </w:t>
            </w:r>
          </w:p>
        </w:tc>
      </w:tr>
      <w:tr w:rsidR="00087CF4" w:rsidRPr="002A2B2C" w:rsidTr="00E6700B">
        <w:trPr>
          <w:trHeight w:val="900"/>
        </w:trPr>
        <w:tc>
          <w:tcPr>
            <w:tcW w:w="3280" w:type="dxa"/>
            <w:tcBorders>
              <w:top w:val="nil"/>
              <w:left w:val="single" w:sz="4" w:space="0" w:color="auto"/>
              <w:bottom w:val="single" w:sz="4" w:space="0" w:color="auto"/>
              <w:right w:val="single" w:sz="4" w:space="0" w:color="auto"/>
            </w:tcBorders>
            <w:vAlign w:val="center"/>
          </w:tcPr>
          <w:p w:rsidR="00087CF4" w:rsidRPr="00E6700B" w:rsidRDefault="00087CF4" w:rsidP="00E6700B">
            <w:pPr>
              <w:spacing w:after="0" w:line="240" w:lineRule="auto"/>
              <w:jc w:val="left"/>
              <w:rPr>
                <w:color w:val="000000"/>
                <w:lang w:eastAsia="sl-SI"/>
              </w:rPr>
            </w:pPr>
            <w:r w:rsidRPr="00E6700B">
              <w:rPr>
                <w:color w:val="000000"/>
                <w:lang w:eastAsia="sl-SI"/>
              </w:rPr>
              <w:t>Obresti zaradi financiranja opravljanja storitev javne službe</w:t>
            </w:r>
          </w:p>
        </w:tc>
        <w:tc>
          <w:tcPr>
            <w:tcW w:w="2500" w:type="dxa"/>
            <w:tcBorders>
              <w:top w:val="nil"/>
              <w:left w:val="nil"/>
              <w:bottom w:val="single" w:sz="4" w:space="0" w:color="auto"/>
              <w:right w:val="single" w:sz="4" w:space="0" w:color="auto"/>
            </w:tcBorders>
            <w:vAlign w:val="center"/>
          </w:tcPr>
          <w:p w:rsidR="00087CF4" w:rsidRPr="00E6700B" w:rsidRDefault="00087CF4" w:rsidP="00E6700B">
            <w:pPr>
              <w:spacing w:after="0" w:line="240" w:lineRule="auto"/>
              <w:jc w:val="center"/>
              <w:rPr>
                <w:color w:val="000000"/>
                <w:lang w:eastAsia="sl-SI"/>
              </w:rPr>
            </w:pPr>
            <w:r w:rsidRPr="00E6700B">
              <w:rPr>
                <w:color w:val="000000"/>
                <w:lang w:eastAsia="sl-SI"/>
              </w:rPr>
              <w:t>-</w:t>
            </w:r>
          </w:p>
        </w:tc>
        <w:tc>
          <w:tcPr>
            <w:tcW w:w="1960" w:type="dxa"/>
            <w:tcBorders>
              <w:top w:val="nil"/>
              <w:left w:val="nil"/>
              <w:bottom w:val="single" w:sz="4" w:space="0" w:color="auto"/>
              <w:right w:val="single" w:sz="4" w:space="0" w:color="auto"/>
            </w:tcBorders>
            <w:noWrap/>
            <w:vAlign w:val="center"/>
          </w:tcPr>
          <w:p w:rsidR="00087CF4" w:rsidRPr="00E6700B" w:rsidRDefault="00087CF4" w:rsidP="00E6700B">
            <w:pPr>
              <w:spacing w:after="0" w:line="240" w:lineRule="auto"/>
              <w:jc w:val="center"/>
              <w:rPr>
                <w:color w:val="000000"/>
                <w:lang w:eastAsia="sl-SI"/>
              </w:rPr>
            </w:pPr>
            <w:r w:rsidRPr="00E6700B">
              <w:rPr>
                <w:color w:val="000000"/>
                <w:lang w:eastAsia="sl-SI"/>
              </w:rPr>
              <w:t>-</w:t>
            </w:r>
          </w:p>
        </w:tc>
        <w:tc>
          <w:tcPr>
            <w:tcW w:w="2140" w:type="dxa"/>
            <w:tcBorders>
              <w:top w:val="nil"/>
              <w:left w:val="nil"/>
              <w:bottom w:val="single" w:sz="4" w:space="0" w:color="auto"/>
              <w:right w:val="nil"/>
            </w:tcBorders>
            <w:noWrap/>
            <w:vAlign w:val="center"/>
          </w:tcPr>
          <w:p w:rsidR="00087CF4" w:rsidRPr="00E6700B" w:rsidRDefault="00087CF4" w:rsidP="00E6700B">
            <w:pPr>
              <w:spacing w:after="0" w:line="240" w:lineRule="auto"/>
              <w:jc w:val="center"/>
              <w:rPr>
                <w:color w:val="000000"/>
                <w:lang w:eastAsia="sl-SI"/>
              </w:rPr>
            </w:pPr>
            <w:r w:rsidRPr="00E6700B">
              <w:rPr>
                <w:color w:val="000000"/>
                <w:lang w:eastAsia="sl-SI"/>
              </w:rPr>
              <w:t> </w:t>
            </w:r>
          </w:p>
        </w:tc>
      </w:tr>
      <w:tr w:rsidR="00087CF4" w:rsidRPr="002A2B2C" w:rsidTr="00E6700B">
        <w:trPr>
          <w:trHeight w:val="900"/>
        </w:trPr>
        <w:tc>
          <w:tcPr>
            <w:tcW w:w="3280" w:type="dxa"/>
            <w:tcBorders>
              <w:top w:val="nil"/>
              <w:left w:val="single" w:sz="4" w:space="0" w:color="auto"/>
              <w:bottom w:val="single" w:sz="4" w:space="0" w:color="auto"/>
              <w:right w:val="single" w:sz="4" w:space="0" w:color="auto"/>
            </w:tcBorders>
            <w:vAlign w:val="center"/>
          </w:tcPr>
          <w:p w:rsidR="00087CF4" w:rsidRPr="00E6700B" w:rsidRDefault="00087CF4" w:rsidP="00E6700B">
            <w:pPr>
              <w:spacing w:after="0" w:line="240" w:lineRule="auto"/>
              <w:jc w:val="left"/>
              <w:rPr>
                <w:color w:val="000000"/>
                <w:lang w:eastAsia="sl-SI"/>
              </w:rPr>
            </w:pPr>
            <w:r w:rsidRPr="00E6700B">
              <w:rPr>
                <w:color w:val="000000"/>
                <w:lang w:eastAsia="sl-SI"/>
              </w:rPr>
              <w:t>Neposredni stroški prodaje</w:t>
            </w:r>
          </w:p>
        </w:tc>
        <w:tc>
          <w:tcPr>
            <w:tcW w:w="2500" w:type="dxa"/>
            <w:tcBorders>
              <w:top w:val="nil"/>
              <w:left w:val="nil"/>
              <w:bottom w:val="single" w:sz="4" w:space="0" w:color="auto"/>
              <w:right w:val="single" w:sz="4" w:space="0" w:color="auto"/>
            </w:tcBorders>
            <w:vAlign w:val="center"/>
          </w:tcPr>
          <w:p w:rsidR="00087CF4" w:rsidRPr="00E6700B" w:rsidRDefault="00087CF4" w:rsidP="00E6700B">
            <w:pPr>
              <w:spacing w:after="0" w:line="240" w:lineRule="auto"/>
              <w:jc w:val="center"/>
              <w:rPr>
                <w:color w:val="000000"/>
                <w:lang w:eastAsia="sl-SI"/>
              </w:rPr>
            </w:pPr>
            <w:r w:rsidRPr="00E6700B">
              <w:rPr>
                <w:color w:val="000000"/>
                <w:lang w:eastAsia="sl-SI"/>
              </w:rPr>
              <w:t>-</w:t>
            </w:r>
          </w:p>
        </w:tc>
        <w:tc>
          <w:tcPr>
            <w:tcW w:w="1960" w:type="dxa"/>
            <w:tcBorders>
              <w:top w:val="nil"/>
              <w:left w:val="nil"/>
              <w:bottom w:val="single" w:sz="4" w:space="0" w:color="auto"/>
              <w:right w:val="single" w:sz="4" w:space="0" w:color="auto"/>
            </w:tcBorders>
            <w:noWrap/>
            <w:vAlign w:val="center"/>
          </w:tcPr>
          <w:p w:rsidR="00087CF4" w:rsidRPr="00E6700B" w:rsidRDefault="00087CF4" w:rsidP="00E6700B">
            <w:pPr>
              <w:spacing w:after="0" w:line="240" w:lineRule="auto"/>
              <w:jc w:val="center"/>
              <w:rPr>
                <w:color w:val="000000"/>
                <w:lang w:eastAsia="sl-SI"/>
              </w:rPr>
            </w:pPr>
            <w:r w:rsidRPr="00E6700B">
              <w:rPr>
                <w:color w:val="000000"/>
                <w:lang w:eastAsia="sl-SI"/>
              </w:rPr>
              <w:t>-</w:t>
            </w:r>
          </w:p>
        </w:tc>
        <w:tc>
          <w:tcPr>
            <w:tcW w:w="2140" w:type="dxa"/>
            <w:tcBorders>
              <w:top w:val="nil"/>
              <w:left w:val="nil"/>
              <w:bottom w:val="single" w:sz="4" w:space="0" w:color="auto"/>
              <w:right w:val="nil"/>
            </w:tcBorders>
            <w:noWrap/>
            <w:vAlign w:val="center"/>
          </w:tcPr>
          <w:p w:rsidR="00087CF4" w:rsidRPr="00E6700B" w:rsidRDefault="00087CF4" w:rsidP="00E6700B">
            <w:pPr>
              <w:spacing w:after="0" w:line="240" w:lineRule="auto"/>
              <w:jc w:val="center"/>
              <w:rPr>
                <w:color w:val="000000"/>
                <w:lang w:eastAsia="sl-SI"/>
              </w:rPr>
            </w:pPr>
            <w:r w:rsidRPr="00E6700B">
              <w:rPr>
                <w:color w:val="000000"/>
                <w:lang w:eastAsia="sl-SI"/>
              </w:rPr>
              <w:t> </w:t>
            </w:r>
          </w:p>
        </w:tc>
      </w:tr>
      <w:tr w:rsidR="00087CF4" w:rsidRPr="002A2B2C" w:rsidTr="00E6700B">
        <w:trPr>
          <w:trHeight w:val="1440"/>
        </w:trPr>
        <w:tc>
          <w:tcPr>
            <w:tcW w:w="3280" w:type="dxa"/>
            <w:tcBorders>
              <w:top w:val="nil"/>
              <w:left w:val="single" w:sz="4" w:space="0" w:color="auto"/>
              <w:bottom w:val="single" w:sz="4" w:space="0" w:color="auto"/>
              <w:right w:val="single" w:sz="4" w:space="0" w:color="auto"/>
            </w:tcBorders>
            <w:vAlign w:val="center"/>
          </w:tcPr>
          <w:p w:rsidR="00087CF4" w:rsidRPr="00E6700B" w:rsidRDefault="00087CF4" w:rsidP="00E6700B">
            <w:pPr>
              <w:spacing w:after="0" w:line="240" w:lineRule="auto"/>
              <w:jc w:val="left"/>
              <w:rPr>
                <w:color w:val="000000"/>
                <w:lang w:eastAsia="sl-SI"/>
              </w:rPr>
            </w:pPr>
            <w:r w:rsidRPr="00E6700B">
              <w:rPr>
                <w:color w:val="000000"/>
                <w:lang w:eastAsia="sl-SI"/>
              </w:rPr>
              <w:t>Stroški vodnega povračila za prodano pitno vodo in za vodne izgube do dopustne ravni vodnih izgub v skladu s predpisom, ki ureja oskrbo s pitno vodo</w:t>
            </w:r>
          </w:p>
        </w:tc>
        <w:tc>
          <w:tcPr>
            <w:tcW w:w="2500" w:type="dxa"/>
            <w:tcBorders>
              <w:top w:val="nil"/>
              <w:left w:val="nil"/>
              <w:bottom w:val="single" w:sz="4" w:space="0" w:color="auto"/>
              <w:right w:val="single" w:sz="4" w:space="0" w:color="auto"/>
            </w:tcBorders>
            <w:vAlign w:val="center"/>
          </w:tcPr>
          <w:p w:rsidR="00087CF4" w:rsidRPr="00E6700B" w:rsidRDefault="00087CF4" w:rsidP="00E6700B">
            <w:pPr>
              <w:spacing w:after="0" w:line="240" w:lineRule="auto"/>
              <w:jc w:val="center"/>
              <w:rPr>
                <w:color w:val="000000"/>
                <w:lang w:eastAsia="sl-SI"/>
              </w:rPr>
            </w:pPr>
            <w:r>
              <w:rPr>
                <w:color w:val="000000"/>
                <w:lang w:eastAsia="sl-SI"/>
              </w:rPr>
              <w:t>-</w:t>
            </w:r>
          </w:p>
        </w:tc>
        <w:tc>
          <w:tcPr>
            <w:tcW w:w="1960" w:type="dxa"/>
            <w:tcBorders>
              <w:top w:val="nil"/>
              <w:left w:val="nil"/>
              <w:bottom w:val="single" w:sz="4" w:space="0" w:color="auto"/>
              <w:right w:val="single" w:sz="4" w:space="0" w:color="auto"/>
            </w:tcBorders>
            <w:noWrap/>
            <w:vAlign w:val="center"/>
          </w:tcPr>
          <w:p w:rsidR="00087CF4" w:rsidRPr="00E6700B" w:rsidRDefault="00087CF4" w:rsidP="00E6700B">
            <w:pPr>
              <w:spacing w:after="0" w:line="240" w:lineRule="auto"/>
              <w:jc w:val="center"/>
              <w:rPr>
                <w:color w:val="000000"/>
                <w:lang w:eastAsia="sl-SI"/>
              </w:rPr>
            </w:pPr>
            <w:r>
              <w:rPr>
                <w:color w:val="000000"/>
                <w:lang w:eastAsia="sl-SI"/>
              </w:rPr>
              <w:t>-</w:t>
            </w:r>
          </w:p>
        </w:tc>
        <w:tc>
          <w:tcPr>
            <w:tcW w:w="2140" w:type="dxa"/>
            <w:tcBorders>
              <w:top w:val="nil"/>
              <w:left w:val="nil"/>
              <w:bottom w:val="single" w:sz="4" w:space="0" w:color="auto"/>
              <w:right w:val="nil"/>
            </w:tcBorders>
            <w:noWrap/>
            <w:vAlign w:val="center"/>
          </w:tcPr>
          <w:p w:rsidR="00087CF4" w:rsidRPr="00E6700B" w:rsidRDefault="00087CF4" w:rsidP="00E6700B">
            <w:pPr>
              <w:spacing w:after="0" w:line="240" w:lineRule="auto"/>
              <w:jc w:val="center"/>
              <w:rPr>
                <w:color w:val="000000"/>
                <w:lang w:eastAsia="sl-SI"/>
              </w:rPr>
            </w:pPr>
            <w:r>
              <w:rPr>
                <w:color w:val="000000"/>
                <w:lang w:eastAsia="sl-SI"/>
              </w:rPr>
              <w:t>-</w:t>
            </w:r>
          </w:p>
        </w:tc>
      </w:tr>
      <w:tr w:rsidR="00087CF4" w:rsidRPr="002A2B2C" w:rsidTr="00E6700B">
        <w:trPr>
          <w:trHeight w:val="900"/>
        </w:trPr>
        <w:tc>
          <w:tcPr>
            <w:tcW w:w="3280" w:type="dxa"/>
            <w:tcBorders>
              <w:top w:val="nil"/>
              <w:left w:val="single" w:sz="4" w:space="0" w:color="auto"/>
              <w:bottom w:val="single" w:sz="4" w:space="0" w:color="auto"/>
              <w:right w:val="single" w:sz="4" w:space="0" w:color="auto"/>
            </w:tcBorders>
            <w:vAlign w:val="center"/>
          </w:tcPr>
          <w:p w:rsidR="00087CF4" w:rsidRPr="00E6700B" w:rsidRDefault="00087CF4" w:rsidP="00E6700B">
            <w:pPr>
              <w:spacing w:after="0" w:line="240" w:lineRule="auto"/>
              <w:jc w:val="left"/>
              <w:rPr>
                <w:color w:val="000000"/>
                <w:lang w:eastAsia="sl-SI"/>
              </w:rPr>
            </w:pPr>
            <w:r w:rsidRPr="00E6700B">
              <w:rPr>
                <w:color w:val="000000"/>
                <w:lang w:eastAsia="sl-SI"/>
              </w:rPr>
              <w:t>Drugi poslovni odhodki</w:t>
            </w:r>
          </w:p>
        </w:tc>
        <w:tc>
          <w:tcPr>
            <w:tcW w:w="2500" w:type="dxa"/>
            <w:tcBorders>
              <w:top w:val="nil"/>
              <w:left w:val="nil"/>
              <w:bottom w:val="single" w:sz="4" w:space="0" w:color="auto"/>
              <w:right w:val="single" w:sz="4" w:space="0" w:color="auto"/>
            </w:tcBorders>
            <w:vAlign w:val="center"/>
          </w:tcPr>
          <w:p w:rsidR="00087CF4" w:rsidRPr="00E6700B" w:rsidRDefault="00087CF4" w:rsidP="00E6700B">
            <w:pPr>
              <w:spacing w:after="0" w:line="240" w:lineRule="auto"/>
              <w:jc w:val="center"/>
              <w:rPr>
                <w:color w:val="000000"/>
                <w:lang w:eastAsia="sl-SI"/>
              </w:rPr>
            </w:pPr>
            <w:r w:rsidRPr="00E6700B">
              <w:rPr>
                <w:color w:val="000000"/>
                <w:lang w:eastAsia="sl-SI"/>
              </w:rPr>
              <w:t>-</w:t>
            </w:r>
          </w:p>
        </w:tc>
        <w:tc>
          <w:tcPr>
            <w:tcW w:w="1960" w:type="dxa"/>
            <w:tcBorders>
              <w:top w:val="nil"/>
              <w:left w:val="nil"/>
              <w:bottom w:val="single" w:sz="4" w:space="0" w:color="auto"/>
              <w:right w:val="single" w:sz="4" w:space="0" w:color="auto"/>
            </w:tcBorders>
            <w:noWrap/>
            <w:vAlign w:val="center"/>
          </w:tcPr>
          <w:p w:rsidR="00087CF4" w:rsidRPr="00E6700B" w:rsidRDefault="00087CF4" w:rsidP="00E6700B">
            <w:pPr>
              <w:spacing w:after="0" w:line="240" w:lineRule="auto"/>
              <w:jc w:val="center"/>
              <w:rPr>
                <w:color w:val="000000"/>
                <w:lang w:eastAsia="sl-SI"/>
              </w:rPr>
            </w:pPr>
            <w:r w:rsidRPr="00E6700B">
              <w:rPr>
                <w:color w:val="000000"/>
                <w:lang w:eastAsia="sl-SI"/>
              </w:rPr>
              <w:t>-</w:t>
            </w:r>
          </w:p>
        </w:tc>
        <w:tc>
          <w:tcPr>
            <w:tcW w:w="2140" w:type="dxa"/>
            <w:tcBorders>
              <w:top w:val="nil"/>
              <w:left w:val="nil"/>
              <w:bottom w:val="single" w:sz="4" w:space="0" w:color="auto"/>
              <w:right w:val="nil"/>
            </w:tcBorders>
            <w:noWrap/>
            <w:vAlign w:val="center"/>
          </w:tcPr>
          <w:p w:rsidR="00087CF4" w:rsidRPr="00E6700B" w:rsidRDefault="00087CF4" w:rsidP="00E6700B">
            <w:pPr>
              <w:spacing w:after="0" w:line="240" w:lineRule="auto"/>
              <w:jc w:val="center"/>
              <w:rPr>
                <w:color w:val="000000"/>
                <w:lang w:eastAsia="sl-SI"/>
              </w:rPr>
            </w:pPr>
            <w:r w:rsidRPr="00E6700B">
              <w:rPr>
                <w:color w:val="000000"/>
                <w:lang w:eastAsia="sl-SI"/>
              </w:rPr>
              <w:t> </w:t>
            </w:r>
          </w:p>
        </w:tc>
      </w:tr>
      <w:tr w:rsidR="00087CF4" w:rsidRPr="002A2B2C" w:rsidTr="00E6700B">
        <w:trPr>
          <w:trHeight w:val="300"/>
        </w:trPr>
        <w:tc>
          <w:tcPr>
            <w:tcW w:w="3280" w:type="dxa"/>
            <w:tcBorders>
              <w:top w:val="nil"/>
              <w:left w:val="single" w:sz="4" w:space="0" w:color="auto"/>
              <w:bottom w:val="single" w:sz="4" w:space="0" w:color="auto"/>
              <w:right w:val="single" w:sz="4" w:space="0" w:color="auto"/>
            </w:tcBorders>
            <w:vAlign w:val="center"/>
          </w:tcPr>
          <w:p w:rsidR="00087CF4" w:rsidRPr="00E6700B" w:rsidRDefault="00087CF4" w:rsidP="00E6700B">
            <w:pPr>
              <w:spacing w:after="0" w:line="240" w:lineRule="auto"/>
              <w:jc w:val="left"/>
              <w:rPr>
                <w:b/>
                <w:bCs/>
                <w:color w:val="000000"/>
                <w:lang w:eastAsia="sl-SI"/>
              </w:rPr>
            </w:pPr>
            <w:r>
              <w:rPr>
                <w:b/>
                <w:bCs/>
                <w:color w:val="000000"/>
                <w:lang w:eastAsia="sl-SI"/>
              </w:rPr>
              <w:t>Skupaj stroški čiščenje</w:t>
            </w:r>
          </w:p>
        </w:tc>
        <w:tc>
          <w:tcPr>
            <w:tcW w:w="2500" w:type="dxa"/>
            <w:tcBorders>
              <w:top w:val="nil"/>
              <w:left w:val="nil"/>
              <w:bottom w:val="single" w:sz="4" w:space="0" w:color="auto"/>
              <w:right w:val="single" w:sz="4" w:space="0" w:color="auto"/>
            </w:tcBorders>
            <w:vAlign w:val="center"/>
          </w:tcPr>
          <w:p w:rsidR="00087CF4" w:rsidRPr="00E6700B" w:rsidRDefault="00087CF4" w:rsidP="00E6700B">
            <w:pPr>
              <w:spacing w:after="0" w:line="240" w:lineRule="auto"/>
              <w:jc w:val="center"/>
              <w:rPr>
                <w:color w:val="000000"/>
                <w:lang w:eastAsia="sl-SI"/>
              </w:rPr>
            </w:pPr>
            <w:r>
              <w:rPr>
                <w:color w:val="000000"/>
                <w:lang w:eastAsia="sl-SI"/>
              </w:rPr>
              <w:t>34.884,43</w:t>
            </w:r>
          </w:p>
        </w:tc>
        <w:tc>
          <w:tcPr>
            <w:tcW w:w="1960" w:type="dxa"/>
            <w:tcBorders>
              <w:top w:val="nil"/>
              <w:left w:val="nil"/>
              <w:bottom w:val="single" w:sz="4" w:space="0" w:color="auto"/>
              <w:right w:val="single" w:sz="4" w:space="0" w:color="auto"/>
            </w:tcBorders>
            <w:noWrap/>
            <w:vAlign w:val="bottom"/>
          </w:tcPr>
          <w:p w:rsidR="00087CF4" w:rsidRPr="00E6700B" w:rsidRDefault="00087CF4" w:rsidP="008A55F7">
            <w:pPr>
              <w:spacing w:after="0" w:line="240" w:lineRule="auto"/>
              <w:jc w:val="center"/>
              <w:rPr>
                <w:color w:val="000000"/>
                <w:lang w:eastAsia="sl-SI"/>
              </w:rPr>
            </w:pPr>
            <w:r>
              <w:rPr>
                <w:color w:val="000000"/>
                <w:lang w:eastAsia="sl-SI"/>
              </w:rPr>
              <w:t>46.110,07</w:t>
            </w:r>
          </w:p>
        </w:tc>
        <w:tc>
          <w:tcPr>
            <w:tcW w:w="2140" w:type="dxa"/>
            <w:tcBorders>
              <w:top w:val="nil"/>
              <w:left w:val="nil"/>
              <w:bottom w:val="single" w:sz="4" w:space="0" w:color="auto"/>
              <w:right w:val="nil"/>
            </w:tcBorders>
            <w:noWrap/>
            <w:vAlign w:val="bottom"/>
          </w:tcPr>
          <w:p w:rsidR="00087CF4" w:rsidRPr="00E6700B" w:rsidRDefault="00087CF4" w:rsidP="00E6700B">
            <w:pPr>
              <w:spacing w:after="0" w:line="240" w:lineRule="auto"/>
              <w:jc w:val="center"/>
              <w:rPr>
                <w:color w:val="000000"/>
                <w:lang w:eastAsia="sl-SI"/>
              </w:rPr>
            </w:pPr>
            <w:r>
              <w:rPr>
                <w:color w:val="000000"/>
                <w:lang w:eastAsia="sl-SI"/>
              </w:rPr>
              <w:t>1,32</w:t>
            </w:r>
          </w:p>
        </w:tc>
      </w:tr>
      <w:tr w:rsidR="00087CF4" w:rsidRPr="002A2B2C" w:rsidTr="00E6700B">
        <w:trPr>
          <w:trHeight w:val="600"/>
        </w:trPr>
        <w:tc>
          <w:tcPr>
            <w:tcW w:w="3280" w:type="dxa"/>
            <w:tcBorders>
              <w:top w:val="nil"/>
              <w:left w:val="single" w:sz="4" w:space="0" w:color="auto"/>
              <w:bottom w:val="single" w:sz="4" w:space="0" w:color="auto"/>
              <w:right w:val="single" w:sz="4" w:space="0" w:color="auto"/>
            </w:tcBorders>
            <w:shd w:val="clear" w:color="000000" w:fill="4F81BD"/>
            <w:vAlign w:val="center"/>
          </w:tcPr>
          <w:p w:rsidR="00087CF4" w:rsidRPr="00E6700B" w:rsidRDefault="00087CF4" w:rsidP="00813DD8">
            <w:pPr>
              <w:spacing w:after="0" w:line="240" w:lineRule="auto"/>
              <w:jc w:val="left"/>
              <w:rPr>
                <w:b/>
                <w:bCs/>
                <w:color w:val="000000"/>
                <w:lang w:eastAsia="sl-SI"/>
              </w:rPr>
            </w:pPr>
            <w:r w:rsidRPr="00E6700B">
              <w:rPr>
                <w:b/>
                <w:bCs/>
                <w:color w:val="000000"/>
                <w:lang w:eastAsia="sl-SI"/>
              </w:rPr>
              <w:t xml:space="preserve">SKUPAJ STROŠKI OMREŽNINE IN </w:t>
            </w:r>
            <w:r>
              <w:rPr>
                <w:b/>
                <w:bCs/>
                <w:color w:val="000000"/>
                <w:lang w:eastAsia="sl-SI"/>
              </w:rPr>
              <w:t>ODVAJANJA</w:t>
            </w:r>
            <w:r w:rsidRPr="00E6700B">
              <w:rPr>
                <w:b/>
                <w:bCs/>
                <w:color w:val="000000"/>
                <w:lang w:eastAsia="sl-SI"/>
              </w:rPr>
              <w:t xml:space="preserve"> (A+B)</w:t>
            </w:r>
          </w:p>
        </w:tc>
        <w:tc>
          <w:tcPr>
            <w:tcW w:w="2500" w:type="dxa"/>
            <w:tcBorders>
              <w:top w:val="nil"/>
              <w:left w:val="nil"/>
              <w:bottom w:val="single" w:sz="4" w:space="0" w:color="auto"/>
              <w:right w:val="single" w:sz="4" w:space="0" w:color="auto"/>
            </w:tcBorders>
            <w:shd w:val="clear" w:color="000000" w:fill="4F81BD"/>
            <w:vAlign w:val="center"/>
          </w:tcPr>
          <w:p w:rsidR="00087CF4" w:rsidRPr="00E6700B" w:rsidRDefault="00087CF4" w:rsidP="00E6700B">
            <w:pPr>
              <w:spacing w:after="0" w:line="240" w:lineRule="auto"/>
              <w:jc w:val="center"/>
              <w:rPr>
                <w:b/>
                <w:bCs/>
                <w:color w:val="000000"/>
                <w:lang w:eastAsia="sl-SI"/>
              </w:rPr>
            </w:pPr>
            <w:r>
              <w:rPr>
                <w:b/>
                <w:bCs/>
                <w:color w:val="000000"/>
                <w:lang w:eastAsia="sl-SI"/>
              </w:rPr>
              <w:t>39.374,27</w:t>
            </w:r>
          </w:p>
        </w:tc>
        <w:tc>
          <w:tcPr>
            <w:tcW w:w="1960" w:type="dxa"/>
            <w:tcBorders>
              <w:top w:val="nil"/>
              <w:left w:val="nil"/>
              <w:bottom w:val="single" w:sz="4" w:space="0" w:color="auto"/>
              <w:right w:val="single" w:sz="4" w:space="0" w:color="auto"/>
            </w:tcBorders>
            <w:shd w:val="clear" w:color="000000" w:fill="4F81BD"/>
            <w:noWrap/>
            <w:vAlign w:val="bottom"/>
          </w:tcPr>
          <w:p w:rsidR="00087CF4" w:rsidRPr="00E6700B" w:rsidRDefault="00087CF4" w:rsidP="00AC3D35">
            <w:pPr>
              <w:spacing w:after="0" w:line="240" w:lineRule="auto"/>
              <w:jc w:val="center"/>
              <w:rPr>
                <w:b/>
                <w:bCs/>
                <w:color w:val="000000"/>
                <w:lang w:eastAsia="sl-SI"/>
              </w:rPr>
            </w:pPr>
            <w:r>
              <w:rPr>
                <w:b/>
                <w:bCs/>
                <w:color w:val="000000"/>
                <w:lang w:eastAsia="sl-SI"/>
              </w:rPr>
              <w:t>50.175,67</w:t>
            </w:r>
          </w:p>
        </w:tc>
        <w:tc>
          <w:tcPr>
            <w:tcW w:w="2140" w:type="dxa"/>
            <w:tcBorders>
              <w:top w:val="nil"/>
              <w:left w:val="nil"/>
              <w:bottom w:val="single" w:sz="4" w:space="0" w:color="auto"/>
              <w:right w:val="nil"/>
            </w:tcBorders>
            <w:shd w:val="clear" w:color="000000" w:fill="4F81BD"/>
            <w:noWrap/>
            <w:vAlign w:val="bottom"/>
          </w:tcPr>
          <w:p w:rsidR="00087CF4" w:rsidRDefault="00087CF4" w:rsidP="00AC3D35">
            <w:pPr>
              <w:spacing w:after="0" w:line="240" w:lineRule="auto"/>
              <w:jc w:val="center"/>
              <w:rPr>
                <w:b/>
                <w:bCs/>
                <w:color w:val="000000"/>
                <w:lang w:eastAsia="sl-SI"/>
              </w:rPr>
            </w:pPr>
            <w:r>
              <w:rPr>
                <w:b/>
                <w:bCs/>
                <w:color w:val="000000"/>
                <w:lang w:eastAsia="sl-SI"/>
              </w:rPr>
              <w:t>1,27</w:t>
            </w:r>
          </w:p>
          <w:p w:rsidR="00087CF4" w:rsidRPr="00E6700B" w:rsidRDefault="00087CF4" w:rsidP="00AC3D35">
            <w:pPr>
              <w:spacing w:after="0" w:line="240" w:lineRule="auto"/>
              <w:jc w:val="center"/>
              <w:rPr>
                <w:b/>
                <w:bCs/>
                <w:color w:val="000000"/>
                <w:lang w:eastAsia="sl-SI"/>
              </w:rPr>
            </w:pPr>
          </w:p>
        </w:tc>
      </w:tr>
    </w:tbl>
    <w:p w:rsidR="00087CF4" w:rsidRPr="00DE509F" w:rsidRDefault="00087CF4" w:rsidP="00DE509F"/>
    <w:p w:rsidR="00087CF4" w:rsidRDefault="00087CF4" w:rsidP="003B1FA7">
      <w:pPr>
        <w:pStyle w:val="Heading2"/>
      </w:pPr>
      <w:bookmarkStart w:id="7" w:name="_Toc416257816"/>
      <w:r>
        <w:t>P</w:t>
      </w:r>
      <w:r w:rsidRPr="009D5765">
        <w:t>ojasnila odmikov obračunske cene od predračunske in od potrjene cene storitev posamezne javne službe</w:t>
      </w:r>
      <w:bookmarkEnd w:id="7"/>
    </w:p>
    <w:p w:rsidR="00087CF4" w:rsidRPr="005B2262" w:rsidRDefault="00087CF4" w:rsidP="005B2262"/>
    <w:p w:rsidR="00087CF4" w:rsidRDefault="00087CF4" w:rsidP="00295557">
      <w:r w:rsidRPr="00C570E5">
        <w:rPr>
          <w:b/>
          <w:i/>
        </w:rPr>
        <w:t>Predračunska lastna cena storitev</w:t>
      </w:r>
      <w:r w:rsidRPr="00C570E5">
        <w:t xml:space="preserve"> je cena, ki se izračuna v skladu s slovenskimi računovodskimi standardi in </w:t>
      </w:r>
      <w:r>
        <w:t>Uredbo</w:t>
      </w:r>
      <w:r w:rsidRPr="00C570E5">
        <w:t>, na podlagi načrtovane količine opravljenih storitev in načrtovanih stroškov ter prihodkov izvajalca v prihodnjem obračunskem obd</w:t>
      </w:r>
      <w:r>
        <w:t>obju, in ne vključuje omrežnine.</w:t>
      </w:r>
    </w:p>
    <w:p w:rsidR="00087CF4" w:rsidRDefault="00087CF4" w:rsidP="00DE5F3E">
      <w:r w:rsidRPr="009E2ADF">
        <w:t xml:space="preserve">V letu </w:t>
      </w:r>
      <w:r>
        <w:t>2016 se je čiščenje zaračunavala po cenah sprejetih v mesecu decembru 2015. Cena čiščenja odpadne vode je 0,4919 €/m</w:t>
      </w:r>
      <w:r w:rsidRPr="00DE5F3E">
        <w:rPr>
          <w:vertAlign w:val="superscript"/>
        </w:rPr>
        <w:t>3</w:t>
      </w:r>
      <w:r>
        <w:t xml:space="preserve"> brez DDV oz. 0,5386 €/m3 z DDV s subvenciji 0,1405 €/m3 (omrežnina za števce do vključno z DN 20 0,4389 €/mesec brez DDV oz. 0,4806 €/mesec z DDV). </w:t>
      </w:r>
      <w:r w:rsidRPr="00FA1018">
        <w:t xml:space="preserve"> </w:t>
      </w:r>
    </w:p>
    <w:p w:rsidR="00087CF4" w:rsidRDefault="00087CF4" w:rsidP="00295557">
      <w:r w:rsidRPr="00C570E5">
        <w:rPr>
          <w:b/>
          <w:i/>
        </w:rPr>
        <w:t>Obračunska lastna cena storitev</w:t>
      </w:r>
      <w:r w:rsidRPr="00C570E5">
        <w:t xml:space="preserve"> </w:t>
      </w:r>
      <w:r>
        <w:t>»čiščenje</w:t>
      </w:r>
      <w:r w:rsidRPr="00DE5F3E">
        <w:t xml:space="preserve">« </w:t>
      </w:r>
      <w:r w:rsidRPr="00C570E5">
        <w:t>je cena, ki se izračuna enako kakor predračunska cena, pri čemer se za preračun stroškov na enoto storitev uporabijo dejanske količine opravljenih storitev in realizirani stroški izvajalca v preteklem obračunskem obdobju</w:t>
      </w:r>
      <w:r>
        <w:t>.</w:t>
      </w:r>
    </w:p>
    <w:p w:rsidR="00087CF4" w:rsidRPr="00071DC0" w:rsidRDefault="00087CF4" w:rsidP="00295557">
      <w:pPr>
        <w:rPr>
          <w:color w:val="FF0000"/>
        </w:rPr>
      </w:pPr>
      <w:r>
        <w:t>V letu 2015 so znašali realizirani stroški povezani s storitvijo čiščenje 46.110,07</w:t>
      </w:r>
      <w:r w:rsidRPr="00E6700B">
        <w:rPr>
          <w:color w:val="000000"/>
        </w:rPr>
        <w:t xml:space="preserve"> </w:t>
      </w:r>
      <w:r>
        <w:t>€ (preglednica 2), količina opravljenih storitev (dejansko prodana količina vode) je znašala 98.179 m</w:t>
      </w:r>
      <w:r w:rsidRPr="00DE5F3E">
        <w:rPr>
          <w:vertAlign w:val="superscript"/>
        </w:rPr>
        <w:t>3</w:t>
      </w:r>
      <w:r>
        <w:t xml:space="preserve"> (preglednica 1) in </w:t>
      </w:r>
      <w:r w:rsidRPr="00E34960">
        <w:rPr>
          <w:color w:val="000000"/>
        </w:rPr>
        <w:t xml:space="preserve">obračunska lastna cena </w:t>
      </w:r>
      <w:r>
        <w:rPr>
          <w:color w:val="000000"/>
        </w:rPr>
        <w:t>čiščenja</w:t>
      </w:r>
      <w:r w:rsidRPr="00E34960">
        <w:rPr>
          <w:color w:val="000000"/>
        </w:rPr>
        <w:t xml:space="preserve"> je </w:t>
      </w:r>
      <w:r>
        <w:rPr>
          <w:color w:val="000000"/>
        </w:rPr>
        <w:t>0,4697</w:t>
      </w:r>
      <w:r w:rsidRPr="00E34960">
        <w:rPr>
          <w:color w:val="000000"/>
        </w:rPr>
        <w:t xml:space="preserve"> EUR/m</w:t>
      </w:r>
      <w:r w:rsidRPr="00E34960">
        <w:rPr>
          <w:color w:val="000000"/>
          <w:vertAlign w:val="superscript"/>
        </w:rPr>
        <w:t xml:space="preserve">3 </w:t>
      </w:r>
      <w:r w:rsidRPr="00E34960">
        <w:rPr>
          <w:color w:val="000000"/>
        </w:rPr>
        <w:t xml:space="preserve">(brez poračuna). </w:t>
      </w:r>
    </w:p>
    <w:p w:rsidR="00087CF4" w:rsidRPr="00341F25" w:rsidRDefault="00087CF4" w:rsidP="003B1FA7">
      <w:pPr>
        <w:pStyle w:val="Heading2"/>
        <w:rPr>
          <w:rFonts w:ascii="Calibri" w:hAnsi="Calibri"/>
        </w:rPr>
      </w:pPr>
      <w:bookmarkStart w:id="8" w:name="_Toc416257817"/>
      <w:r w:rsidRPr="00341F25">
        <w:rPr>
          <w:rFonts w:ascii="Calibri" w:hAnsi="Calibri"/>
        </w:rPr>
        <w:t>Primerjava obračunskih cen posamezne javne službe, za katero se oblikuje cena, z obračunskimi cenami storitev javne službe na primerljivih območjih</w:t>
      </w:r>
      <w:bookmarkEnd w:id="8"/>
    </w:p>
    <w:p w:rsidR="00087CF4" w:rsidRPr="009D5765" w:rsidRDefault="00087CF4" w:rsidP="00295557">
      <w:r>
        <w:t>Pristojno ministrstvo še ni opredelilo primerljivih območij. V skladu s 27. členom Uredbe, elaborat ne vsebuje primerjave</w:t>
      </w:r>
      <w:r w:rsidRPr="00F75B4E">
        <w:t xml:space="preserve"> obračunskih cen posamezne javne službe, za katero se oblikuje cena, z obračunskimi cenami storitev javne službe na primerljivih območjih</w:t>
      </w:r>
      <w:r>
        <w:t>.</w:t>
      </w:r>
    </w:p>
    <w:p w:rsidR="00087CF4" w:rsidRPr="00AC3D35" w:rsidRDefault="00087CF4" w:rsidP="003B1FA7">
      <w:pPr>
        <w:pStyle w:val="Heading2"/>
        <w:rPr>
          <w:rFonts w:ascii="Calibri" w:hAnsi="Calibri"/>
        </w:rPr>
      </w:pPr>
      <w:bookmarkStart w:id="9" w:name="_Toc416257818"/>
      <w:r w:rsidRPr="00AC3D35">
        <w:rPr>
          <w:rFonts w:ascii="Calibri" w:hAnsi="Calibri"/>
        </w:rPr>
        <w:t>Primerjava potrjenih cen posamezne javne službe, za katero se oblikuje cena, s potrjenimi cenami storitev javne službe na primerljivih območjih</w:t>
      </w:r>
      <w:bookmarkEnd w:id="9"/>
    </w:p>
    <w:p w:rsidR="00087CF4" w:rsidRDefault="00087CF4" w:rsidP="00295557">
      <w:r w:rsidRPr="00F75B4E">
        <w:t>Pristojno ministrstvo še ni opredelilo primerljivih območij</w:t>
      </w:r>
      <w:r>
        <w:t xml:space="preserve">. </w:t>
      </w:r>
      <w:r w:rsidRPr="00F75B4E">
        <w:t xml:space="preserve"> </w:t>
      </w:r>
      <w:r>
        <w:t>V</w:t>
      </w:r>
      <w:r w:rsidRPr="00F75B4E">
        <w:t xml:space="preserve"> skladu s 27. členom Uredbe elaborat ne vsebuje </w:t>
      </w:r>
      <w:r>
        <w:t>p</w:t>
      </w:r>
      <w:r w:rsidRPr="00F75B4E">
        <w:t>rimerjav</w:t>
      </w:r>
      <w:r>
        <w:t>e</w:t>
      </w:r>
      <w:r w:rsidRPr="00F75B4E">
        <w:t xml:space="preserve"> potrjenih cen posamezne javne službe, za katero se oblikuje cena, s potrjenimi cenami storitev javne službe na primerljivih območjih</w:t>
      </w:r>
      <w:r>
        <w:t>.</w:t>
      </w:r>
    </w:p>
    <w:p w:rsidR="00087CF4" w:rsidRPr="00AC3D35" w:rsidRDefault="00087CF4" w:rsidP="002B28B2">
      <w:pPr>
        <w:pStyle w:val="Heading2"/>
        <w:rPr>
          <w:rFonts w:ascii="Calibri" w:hAnsi="Calibri"/>
        </w:rPr>
      </w:pPr>
      <w:bookmarkStart w:id="10" w:name="_Toc416257819"/>
      <w:r w:rsidRPr="00AC3D35">
        <w:rPr>
          <w:rFonts w:ascii="Calibri" w:hAnsi="Calibri"/>
        </w:rPr>
        <w:t>Primerjava obračunske cene javne infrastrukture javne službe, za katero se oblikuje cena, s primerljivimi območji</w:t>
      </w:r>
      <w:bookmarkEnd w:id="10"/>
    </w:p>
    <w:p w:rsidR="00087CF4" w:rsidRDefault="00087CF4" w:rsidP="00295557">
      <w:r w:rsidRPr="00F75B4E">
        <w:t>Pristojno ministrstvo še ni opredelilo primerljivih območij</w:t>
      </w:r>
      <w:r>
        <w:t>. V</w:t>
      </w:r>
      <w:r w:rsidRPr="00F75B4E">
        <w:t xml:space="preserve"> skladu s 27. členom Uredbe elaborat ne vsebuje </w:t>
      </w:r>
      <w:r>
        <w:t>primerjave</w:t>
      </w:r>
      <w:r w:rsidRPr="00F75B4E">
        <w:t xml:space="preserve"> obračunske cene javne infrastrukture javne službe, za katero se oblikuje cena, s primerljivimi območji</w:t>
      </w:r>
      <w:r>
        <w:t>.</w:t>
      </w:r>
    </w:p>
    <w:p w:rsidR="00087CF4" w:rsidRPr="00AC3D35" w:rsidRDefault="00087CF4" w:rsidP="002B28B2">
      <w:pPr>
        <w:pStyle w:val="Heading2"/>
        <w:rPr>
          <w:rFonts w:ascii="Calibri" w:hAnsi="Calibri"/>
        </w:rPr>
      </w:pPr>
      <w:bookmarkStart w:id="11" w:name="_Toc416257820"/>
      <w:r w:rsidRPr="00AC3D35">
        <w:rPr>
          <w:rFonts w:ascii="Calibri" w:hAnsi="Calibri"/>
        </w:rPr>
        <w:t xml:space="preserve">Predračunska količina opravljenih storitev javne službe za leto </w:t>
      </w:r>
      <w:bookmarkEnd w:id="11"/>
      <w:r>
        <w:rPr>
          <w:rFonts w:ascii="Calibri" w:hAnsi="Calibri"/>
        </w:rPr>
        <w:t>2016</w:t>
      </w:r>
    </w:p>
    <w:p w:rsidR="00087CF4" w:rsidRPr="00685C61" w:rsidRDefault="00087CF4" w:rsidP="00685C61">
      <w:r>
        <w:t>Predračunska količina opravljenih storitev za leto 2016 je ocenjena na 100.000 m</w:t>
      </w:r>
      <w:r w:rsidRPr="00685C61">
        <w:rPr>
          <w:vertAlign w:val="superscript"/>
        </w:rPr>
        <w:t>3</w:t>
      </w:r>
      <w:r>
        <w:t xml:space="preserve">. </w:t>
      </w:r>
    </w:p>
    <w:p w:rsidR="00087CF4" w:rsidRPr="00AC3D35" w:rsidRDefault="00087CF4" w:rsidP="00295557">
      <w:pPr>
        <w:pStyle w:val="Heading2"/>
        <w:rPr>
          <w:rFonts w:ascii="Calibri" w:hAnsi="Calibri"/>
        </w:rPr>
      </w:pPr>
      <w:bookmarkStart w:id="12" w:name="_Toc416257821"/>
      <w:r w:rsidRPr="00AC3D35">
        <w:rPr>
          <w:rFonts w:ascii="Calibri" w:hAnsi="Calibri"/>
        </w:rPr>
        <w:t xml:space="preserve">Predračunski stroški izvajanja storitev javne službe za leto </w:t>
      </w:r>
      <w:bookmarkEnd w:id="12"/>
      <w:r>
        <w:rPr>
          <w:rFonts w:ascii="Calibri" w:hAnsi="Calibri"/>
        </w:rPr>
        <w:t>2016</w:t>
      </w:r>
    </w:p>
    <w:p w:rsidR="00087CF4" w:rsidRPr="0099415E" w:rsidRDefault="00087CF4" w:rsidP="00295557">
      <w:pPr>
        <w:rPr>
          <w:color w:val="000000"/>
        </w:rPr>
      </w:pPr>
      <w:r w:rsidRPr="0099415E">
        <w:rPr>
          <w:color w:val="000000"/>
        </w:rPr>
        <w:t xml:space="preserve">Predračunski stroški so ocenjeni na </w:t>
      </w:r>
      <w:r>
        <w:rPr>
          <w:color w:val="000000"/>
        </w:rPr>
        <w:t>46.847,09 EUR,</w:t>
      </w:r>
      <w:r w:rsidRPr="0099415E">
        <w:rPr>
          <w:color w:val="000000"/>
        </w:rPr>
        <w:t xml:space="preserve"> omrežnina na </w:t>
      </w:r>
      <w:r>
        <w:rPr>
          <w:color w:val="000000"/>
        </w:rPr>
        <w:t>4.065,60</w:t>
      </w:r>
      <w:r w:rsidRPr="0099415E">
        <w:rPr>
          <w:color w:val="000000"/>
        </w:rPr>
        <w:t xml:space="preserve"> EUR, obračunska lastna cena čiščenja je </w:t>
      </w:r>
      <w:r>
        <w:rPr>
          <w:color w:val="000000"/>
        </w:rPr>
        <w:t>0,468471</w:t>
      </w:r>
      <w:r w:rsidRPr="0099415E">
        <w:rPr>
          <w:color w:val="000000"/>
        </w:rPr>
        <w:t xml:space="preserve"> €/m3 (brez poračuna).</w:t>
      </w:r>
    </w:p>
    <w:p w:rsidR="00087CF4" w:rsidRPr="00AC3D35" w:rsidRDefault="00087CF4" w:rsidP="00295557">
      <w:pPr>
        <w:pStyle w:val="Heading2"/>
        <w:rPr>
          <w:rFonts w:ascii="Calibri" w:hAnsi="Calibri"/>
        </w:rPr>
      </w:pPr>
      <w:bookmarkStart w:id="13" w:name="_Toc416257822"/>
      <w:r w:rsidRPr="00AC3D35">
        <w:rPr>
          <w:rFonts w:ascii="Calibri" w:hAnsi="Calibri"/>
        </w:rPr>
        <w:t>Obseg poslovno potrebnih osnovnih sredstev za izvajanje storitev javne službe za preteklo in prihodnje obračunsko obdobje</w:t>
      </w:r>
      <w:bookmarkEnd w:id="13"/>
    </w:p>
    <w:p w:rsidR="00087CF4" w:rsidRDefault="00087CF4" w:rsidP="00295557">
      <w:r w:rsidRPr="00D93AA0">
        <w:t xml:space="preserve">Obseg poslovno potrebnih osnovnih sredstev za izvajanje storitev javne službe za </w:t>
      </w:r>
      <w:r>
        <w:t>leto 2015</w:t>
      </w:r>
      <w:r w:rsidRPr="00D93AA0">
        <w:t xml:space="preserve"> in </w:t>
      </w:r>
      <w:r>
        <w:t>2016:</w:t>
      </w:r>
    </w:p>
    <w:p w:rsidR="00087CF4" w:rsidRDefault="00087CF4" w:rsidP="00AC6045">
      <w:pPr>
        <w:pStyle w:val="ListParagraph"/>
        <w:numPr>
          <w:ilvl w:val="0"/>
          <w:numId w:val="7"/>
        </w:numPr>
      </w:pPr>
      <w:r>
        <w:t>Center Črne na Koroškem;</w:t>
      </w:r>
    </w:p>
    <w:p w:rsidR="00087CF4" w:rsidRPr="00AC3D35" w:rsidRDefault="00087CF4" w:rsidP="00406422">
      <w:pPr>
        <w:pStyle w:val="Heading2"/>
        <w:rPr>
          <w:rFonts w:ascii="Calibri" w:hAnsi="Calibri"/>
        </w:rPr>
      </w:pPr>
      <w:r w:rsidRPr="00AC3D35">
        <w:rPr>
          <w:rFonts w:ascii="Calibri" w:hAnsi="Calibri"/>
        </w:rPr>
        <w:t xml:space="preserve"> </w:t>
      </w:r>
      <w:bookmarkStart w:id="14" w:name="_Toc416257823"/>
      <w:r w:rsidRPr="00AC3D35">
        <w:rPr>
          <w:rFonts w:ascii="Calibri" w:hAnsi="Calibri"/>
        </w:rPr>
        <w:t>Prikaz razdelitve splošnih stroškov v skladu z 10. členom Uredbe za preteklo in prihodnje obračunsko obdobje</w:t>
      </w:r>
      <w:bookmarkEnd w:id="14"/>
    </w:p>
    <w:p w:rsidR="00087CF4" w:rsidRDefault="00087CF4" w:rsidP="00295557">
      <w:r>
        <w:t xml:space="preserve">Razdelitev splošnih stroškov za preteklo in prihodnje obračunsko obdobje je prikazano v preglednici 3. Pojasnila za leti 2015 (obračunsko obdobje) in 2016 (predračunsko obdobje) so obrazložena v </w:t>
      </w:r>
      <w:r w:rsidRPr="000A2B83">
        <w:t>točki 2.17.</w:t>
      </w:r>
      <w:r>
        <w:t xml:space="preserve">  </w:t>
      </w:r>
    </w:p>
    <w:p w:rsidR="00087CF4" w:rsidRDefault="00087CF4" w:rsidP="00F56C3B">
      <w:pPr>
        <w:pStyle w:val="Caption"/>
        <w:keepNext/>
      </w:pPr>
      <w:r>
        <w:t xml:space="preserve">Preglednica </w:t>
      </w:r>
      <w:fldSimple w:instr=" SEQ Preglednica \* ARABIC ">
        <w:r>
          <w:rPr>
            <w:noProof/>
          </w:rPr>
          <w:t>3</w:t>
        </w:r>
      </w:fldSimple>
      <w:r>
        <w:t xml:space="preserve">: </w:t>
      </w:r>
      <w:r w:rsidRPr="00054A7E">
        <w:t>Razdelitev splošnih stroškov za preteklo in prihodnje obračunsko obdobje</w:t>
      </w:r>
    </w:p>
    <w:tbl>
      <w:tblPr>
        <w:tblW w:w="8380" w:type="dxa"/>
        <w:tblInd w:w="55" w:type="dxa"/>
        <w:tblCellMar>
          <w:left w:w="70" w:type="dxa"/>
          <w:right w:w="70" w:type="dxa"/>
        </w:tblCellMar>
        <w:tblLook w:val="00A0"/>
      </w:tblPr>
      <w:tblGrid>
        <w:gridCol w:w="3280"/>
        <w:gridCol w:w="1960"/>
        <w:gridCol w:w="1660"/>
        <w:gridCol w:w="1480"/>
      </w:tblGrid>
      <w:tr w:rsidR="00087CF4" w:rsidRPr="002A2B2C" w:rsidTr="006364B6">
        <w:trPr>
          <w:trHeight w:val="735"/>
        </w:trPr>
        <w:tc>
          <w:tcPr>
            <w:tcW w:w="3280" w:type="dxa"/>
            <w:tcBorders>
              <w:top w:val="single" w:sz="8" w:space="0" w:color="auto"/>
              <w:left w:val="single" w:sz="8" w:space="0" w:color="auto"/>
              <w:bottom w:val="single" w:sz="8" w:space="0" w:color="auto"/>
              <w:right w:val="nil"/>
            </w:tcBorders>
            <w:shd w:val="clear" w:color="000000" w:fill="4F81BD"/>
            <w:noWrap/>
            <w:vAlign w:val="bottom"/>
          </w:tcPr>
          <w:p w:rsidR="00087CF4" w:rsidRPr="006364B6" w:rsidRDefault="00087CF4" w:rsidP="006364B6">
            <w:pPr>
              <w:spacing w:after="0" w:line="240" w:lineRule="auto"/>
              <w:jc w:val="center"/>
              <w:rPr>
                <w:b/>
                <w:bCs/>
                <w:color w:val="000000"/>
                <w:lang w:eastAsia="sl-SI"/>
              </w:rPr>
            </w:pPr>
            <w:r w:rsidRPr="006364B6">
              <w:rPr>
                <w:b/>
                <w:bCs/>
                <w:color w:val="000000"/>
                <w:lang w:eastAsia="sl-SI"/>
              </w:rPr>
              <w:t>A Omrežnina - stroški</w:t>
            </w:r>
          </w:p>
        </w:tc>
        <w:tc>
          <w:tcPr>
            <w:tcW w:w="1960" w:type="dxa"/>
            <w:tcBorders>
              <w:top w:val="single" w:sz="8" w:space="0" w:color="auto"/>
              <w:left w:val="nil"/>
              <w:bottom w:val="single" w:sz="8" w:space="0" w:color="auto"/>
              <w:right w:val="nil"/>
            </w:tcBorders>
            <w:shd w:val="clear" w:color="000000" w:fill="4F81BD"/>
            <w:vAlign w:val="bottom"/>
          </w:tcPr>
          <w:p w:rsidR="00087CF4" w:rsidRPr="006364B6" w:rsidRDefault="00087CF4" w:rsidP="006364B6">
            <w:pPr>
              <w:spacing w:after="0" w:line="240" w:lineRule="auto"/>
              <w:jc w:val="center"/>
              <w:rPr>
                <w:b/>
                <w:bCs/>
                <w:color w:val="000000"/>
                <w:lang w:eastAsia="sl-SI"/>
              </w:rPr>
            </w:pPr>
            <w:r w:rsidRPr="006364B6">
              <w:rPr>
                <w:b/>
                <w:bCs/>
                <w:color w:val="000000"/>
                <w:lang w:eastAsia="sl-SI"/>
              </w:rPr>
              <w:t xml:space="preserve">Obračunski stroški </w:t>
            </w:r>
            <w:r>
              <w:rPr>
                <w:b/>
                <w:bCs/>
                <w:color w:val="000000"/>
                <w:lang w:eastAsia="sl-SI"/>
              </w:rPr>
              <w:t>2015</w:t>
            </w:r>
          </w:p>
        </w:tc>
        <w:tc>
          <w:tcPr>
            <w:tcW w:w="1660" w:type="dxa"/>
            <w:tcBorders>
              <w:top w:val="single" w:sz="8" w:space="0" w:color="auto"/>
              <w:left w:val="nil"/>
              <w:bottom w:val="single" w:sz="8" w:space="0" w:color="auto"/>
              <w:right w:val="nil"/>
            </w:tcBorders>
            <w:shd w:val="clear" w:color="000000" w:fill="4F81BD"/>
            <w:vAlign w:val="bottom"/>
          </w:tcPr>
          <w:p w:rsidR="00087CF4" w:rsidRPr="006364B6" w:rsidRDefault="00087CF4" w:rsidP="006364B6">
            <w:pPr>
              <w:spacing w:after="0" w:line="240" w:lineRule="auto"/>
              <w:jc w:val="left"/>
              <w:rPr>
                <w:b/>
                <w:bCs/>
                <w:color w:val="000000"/>
                <w:lang w:eastAsia="sl-SI"/>
              </w:rPr>
            </w:pPr>
            <w:r w:rsidRPr="006364B6">
              <w:rPr>
                <w:b/>
                <w:bCs/>
                <w:color w:val="000000"/>
                <w:lang w:eastAsia="sl-SI"/>
              </w:rPr>
              <w:t xml:space="preserve">Predračunski stroški </w:t>
            </w:r>
            <w:r>
              <w:rPr>
                <w:b/>
                <w:bCs/>
                <w:color w:val="000000"/>
                <w:lang w:eastAsia="sl-SI"/>
              </w:rPr>
              <w:t>2016</w:t>
            </w:r>
          </w:p>
        </w:tc>
        <w:tc>
          <w:tcPr>
            <w:tcW w:w="1480" w:type="dxa"/>
            <w:tcBorders>
              <w:top w:val="single" w:sz="8" w:space="0" w:color="auto"/>
              <w:left w:val="nil"/>
              <w:bottom w:val="single" w:sz="8" w:space="0" w:color="auto"/>
              <w:right w:val="single" w:sz="8" w:space="0" w:color="auto"/>
            </w:tcBorders>
            <w:shd w:val="clear" w:color="000000" w:fill="4F81BD"/>
            <w:vAlign w:val="bottom"/>
          </w:tcPr>
          <w:p w:rsidR="00087CF4" w:rsidRPr="006364B6" w:rsidRDefault="00087CF4" w:rsidP="006364B6">
            <w:pPr>
              <w:spacing w:after="0" w:line="240" w:lineRule="auto"/>
              <w:jc w:val="left"/>
              <w:rPr>
                <w:b/>
                <w:bCs/>
                <w:color w:val="000000"/>
                <w:lang w:eastAsia="sl-SI"/>
              </w:rPr>
            </w:pPr>
            <w:r w:rsidRPr="006364B6">
              <w:rPr>
                <w:b/>
                <w:bCs/>
                <w:color w:val="000000"/>
                <w:lang w:eastAsia="sl-SI"/>
              </w:rPr>
              <w:t>Indeks</w:t>
            </w:r>
            <w:r>
              <w:rPr>
                <w:b/>
                <w:bCs/>
                <w:color w:val="000000"/>
                <w:lang w:eastAsia="sl-SI"/>
              </w:rPr>
              <w:t xml:space="preserve"> OS/PS</w:t>
            </w:r>
          </w:p>
        </w:tc>
      </w:tr>
      <w:tr w:rsidR="00087CF4" w:rsidRPr="002A2B2C" w:rsidTr="006364B6">
        <w:trPr>
          <w:trHeight w:val="735"/>
        </w:trPr>
        <w:tc>
          <w:tcPr>
            <w:tcW w:w="3280" w:type="dxa"/>
            <w:tcBorders>
              <w:top w:val="nil"/>
              <w:left w:val="single" w:sz="4" w:space="0" w:color="auto"/>
              <w:bottom w:val="single" w:sz="4" w:space="0" w:color="auto"/>
              <w:right w:val="single" w:sz="4" w:space="0" w:color="auto"/>
            </w:tcBorders>
            <w:noWrap/>
            <w:vAlign w:val="bottom"/>
          </w:tcPr>
          <w:p w:rsidR="00087CF4" w:rsidRPr="006364B6" w:rsidRDefault="00087CF4" w:rsidP="006364B6">
            <w:pPr>
              <w:spacing w:after="0" w:line="240" w:lineRule="auto"/>
              <w:jc w:val="center"/>
              <w:rPr>
                <w:color w:val="000000"/>
                <w:lang w:eastAsia="sl-SI"/>
              </w:rPr>
            </w:pPr>
            <w:r w:rsidRPr="006364B6">
              <w:rPr>
                <w:color w:val="000000"/>
                <w:lang w:eastAsia="sl-SI"/>
              </w:rPr>
              <w:t>Amortizacija</w:t>
            </w:r>
          </w:p>
        </w:tc>
        <w:tc>
          <w:tcPr>
            <w:tcW w:w="1960" w:type="dxa"/>
            <w:tcBorders>
              <w:top w:val="nil"/>
              <w:left w:val="nil"/>
              <w:bottom w:val="single" w:sz="4" w:space="0" w:color="auto"/>
              <w:right w:val="single" w:sz="4" w:space="0" w:color="auto"/>
            </w:tcBorders>
            <w:vAlign w:val="bottom"/>
          </w:tcPr>
          <w:p w:rsidR="00087CF4" w:rsidRPr="006364B6" w:rsidRDefault="00087CF4" w:rsidP="006364B6">
            <w:pPr>
              <w:spacing w:after="0" w:line="240" w:lineRule="auto"/>
              <w:jc w:val="center"/>
              <w:rPr>
                <w:b/>
                <w:bCs/>
                <w:color w:val="000000"/>
                <w:lang w:eastAsia="sl-SI"/>
              </w:rPr>
            </w:pPr>
            <w:r>
              <w:rPr>
                <w:b/>
                <w:bCs/>
                <w:color w:val="000000"/>
                <w:lang w:eastAsia="sl-SI"/>
              </w:rPr>
              <w:t>4.065,60</w:t>
            </w:r>
          </w:p>
        </w:tc>
        <w:tc>
          <w:tcPr>
            <w:tcW w:w="1660" w:type="dxa"/>
            <w:tcBorders>
              <w:top w:val="nil"/>
              <w:left w:val="nil"/>
              <w:bottom w:val="single" w:sz="4" w:space="0" w:color="auto"/>
              <w:right w:val="single" w:sz="4" w:space="0" w:color="auto"/>
            </w:tcBorders>
            <w:vAlign w:val="bottom"/>
          </w:tcPr>
          <w:p w:rsidR="00087CF4" w:rsidRPr="006364B6" w:rsidRDefault="00087CF4" w:rsidP="006364B6">
            <w:pPr>
              <w:spacing w:after="0" w:line="240" w:lineRule="auto"/>
              <w:jc w:val="center"/>
              <w:rPr>
                <w:color w:val="000000"/>
                <w:lang w:eastAsia="sl-SI"/>
              </w:rPr>
            </w:pPr>
            <w:r>
              <w:rPr>
                <w:b/>
                <w:bCs/>
                <w:color w:val="000000"/>
                <w:lang w:eastAsia="sl-SI"/>
              </w:rPr>
              <w:t>4.065,60</w:t>
            </w:r>
          </w:p>
        </w:tc>
        <w:tc>
          <w:tcPr>
            <w:tcW w:w="1480" w:type="dxa"/>
            <w:tcBorders>
              <w:top w:val="nil"/>
              <w:left w:val="nil"/>
              <w:bottom w:val="single" w:sz="4" w:space="0" w:color="auto"/>
              <w:right w:val="single" w:sz="4" w:space="0" w:color="auto"/>
            </w:tcBorders>
            <w:vAlign w:val="bottom"/>
          </w:tcPr>
          <w:p w:rsidR="00087CF4" w:rsidRPr="006364B6" w:rsidRDefault="00087CF4" w:rsidP="006364B6">
            <w:pPr>
              <w:spacing w:after="0" w:line="240" w:lineRule="auto"/>
              <w:jc w:val="center"/>
              <w:rPr>
                <w:color w:val="000000"/>
                <w:lang w:eastAsia="sl-SI"/>
              </w:rPr>
            </w:pPr>
            <w:r>
              <w:rPr>
                <w:color w:val="000000"/>
                <w:lang w:eastAsia="sl-SI"/>
              </w:rPr>
              <w:t>1,00</w:t>
            </w:r>
          </w:p>
        </w:tc>
      </w:tr>
      <w:tr w:rsidR="00087CF4" w:rsidRPr="002A2B2C" w:rsidTr="006364B6">
        <w:trPr>
          <w:trHeight w:val="735"/>
        </w:trPr>
        <w:tc>
          <w:tcPr>
            <w:tcW w:w="3280" w:type="dxa"/>
            <w:tcBorders>
              <w:top w:val="nil"/>
              <w:left w:val="single" w:sz="4" w:space="0" w:color="auto"/>
              <w:bottom w:val="nil"/>
              <w:right w:val="single" w:sz="4" w:space="0" w:color="auto"/>
            </w:tcBorders>
            <w:noWrap/>
            <w:vAlign w:val="bottom"/>
          </w:tcPr>
          <w:p w:rsidR="00087CF4" w:rsidRPr="006364B6" w:rsidRDefault="00087CF4" w:rsidP="006364B6">
            <w:pPr>
              <w:spacing w:after="0" w:line="240" w:lineRule="auto"/>
              <w:jc w:val="center"/>
              <w:rPr>
                <w:b/>
                <w:bCs/>
                <w:color w:val="000000"/>
                <w:lang w:eastAsia="sl-SI"/>
              </w:rPr>
            </w:pPr>
            <w:r w:rsidRPr="006364B6">
              <w:rPr>
                <w:b/>
                <w:bCs/>
                <w:color w:val="000000"/>
                <w:lang w:eastAsia="sl-SI"/>
              </w:rPr>
              <w:t>Skupaj stroški omrežnina</w:t>
            </w:r>
          </w:p>
        </w:tc>
        <w:tc>
          <w:tcPr>
            <w:tcW w:w="1960" w:type="dxa"/>
            <w:tcBorders>
              <w:top w:val="nil"/>
              <w:left w:val="nil"/>
              <w:bottom w:val="nil"/>
              <w:right w:val="single" w:sz="4" w:space="0" w:color="auto"/>
            </w:tcBorders>
            <w:vAlign w:val="bottom"/>
          </w:tcPr>
          <w:p w:rsidR="00087CF4" w:rsidRPr="006364B6" w:rsidRDefault="00087CF4" w:rsidP="006364B6">
            <w:pPr>
              <w:spacing w:after="0" w:line="240" w:lineRule="auto"/>
              <w:jc w:val="center"/>
              <w:rPr>
                <w:b/>
                <w:bCs/>
                <w:color w:val="000000"/>
                <w:lang w:eastAsia="sl-SI"/>
              </w:rPr>
            </w:pPr>
            <w:r>
              <w:rPr>
                <w:b/>
                <w:bCs/>
                <w:color w:val="000000"/>
                <w:lang w:eastAsia="sl-SI"/>
              </w:rPr>
              <w:t>4.065,60</w:t>
            </w:r>
          </w:p>
        </w:tc>
        <w:tc>
          <w:tcPr>
            <w:tcW w:w="1660" w:type="dxa"/>
            <w:tcBorders>
              <w:top w:val="nil"/>
              <w:left w:val="nil"/>
              <w:bottom w:val="nil"/>
              <w:right w:val="single" w:sz="4" w:space="0" w:color="auto"/>
            </w:tcBorders>
            <w:vAlign w:val="bottom"/>
          </w:tcPr>
          <w:p w:rsidR="00087CF4" w:rsidRPr="006364B6" w:rsidRDefault="00087CF4" w:rsidP="006364B6">
            <w:pPr>
              <w:spacing w:after="0" w:line="240" w:lineRule="auto"/>
              <w:jc w:val="center"/>
              <w:rPr>
                <w:color w:val="000000"/>
                <w:lang w:eastAsia="sl-SI"/>
              </w:rPr>
            </w:pPr>
            <w:r>
              <w:rPr>
                <w:b/>
                <w:bCs/>
                <w:color w:val="000000"/>
                <w:lang w:eastAsia="sl-SI"/>
              </w:rPr>
              <w:t>4.065,60</w:t>
            </w:r>
          </w:p>
        </w:tc>
        <w:tc>
          <w:tcPr>
            <w:tcW w:w="1480" w:type="dxa"/>
            <w:tcBorders>
              <w:top w:val="nil"/>
              <w:left w:val="nil"/>
              <w:bottom w:val="nil"/>
              <w:right w:val="single" w:sz="4" w:space="0" w:color="auto"/>
            </w:tcBorders>
            <w:vAlign w:val="bottom"/>
          </w:tcPr>
          <w:p w:rsidR="00087CF4" w:rsidRPr="006364B6" w:rsidRDefault="00087CF4" w:rsidP="006364B6">
            <w:pPr>
              <w:spacing w:after="0" w:line="240" w:lineRule="auto"/>
              <w:jc w:val="center"/>
              <w:rPr>
                <w:color w:val="000000"/>
                <w:lang w:eastAsia="sl-SI"/>
              </w:rPr>
            </w:pPr>
            <w:r>
              <w:rPr>
                <w:color w:val="000000"/>
                <w:lang w:eastAsia="sl-SI"/>
              </w:rPr>
              <w:t>1,00</w:t>
            </w:r>
          </w:p>
        </w:tc>
      </w:tr>
      <w:tr w:rsidR="00087CF4" w:rsidRPr="002A2B2C" w:rsidTr="006364B6">
        <w:trPr>
          <w:trHeight w:val="735"/>
        </w:trPr>
        <w:tc>
          <w:tcPr>
            <w:tcW w:w="3280" w:type="dxa"/>
            <w:tcBorders>
              <w:top w:val="single" w:sz="8" w:space="0" w:color="auto"/>
              <w:left w:val="single" w:sz="8" w:space="0" w:color="auto"/>
              <w:bottom w:val="single" w:sz="8" w:space="0" w:color="auto"/>
              <w:right w:val="nil"/>
            </w:tcBorders>
            <w:shd w:val="clear" w:color="000000" w:fill="4F81BD"/>
            <w:noWrap/>
            <w:vAlign w:val="bottom"/>
          </w:tcPr>
          <w:p w:rsidR="00087CF4" w:rsidRPr="006364B6" w:rsidRDefault="00087CF4" w:rsidP="00813DD8">
            <w:pPr>
              <w:spacing w:after="0" w:line="240" w:lineRule="auto"/>
              <w:jc w:val="center"/>
              <w:rPr>
                <w:b/>
                <w:bCs/>
                <w:color w:val="000000"/>
                <w:lang w:eastAsia="sl-SI"/>
              </w:rPr>
            </w:pPr>
            <w:r w:rsidRPr="006364B6">
              <w:rPr>
                <w:b/>
                <w:bCs/>
                <w:color w:val="000000"/>
                <w:lang w:eastAsia="sl-SI"/>
              </w:rPr>
              <w:t xml:space="preserve">B </w:t>
            </w:r>
            <w:r>
              <w:rPr>
                <w:b/>
                <w:bCs/>
                <w:color w:val="000000"/>
                <w:lang w:eastAsia="sl-SI"/>
              </w:rPr>
              <w:t>Čiščenje</w:t>
            </w:r>
            <w:r w:rsidRPr="006364B6">
              <w:rPr>
                <w:b/>
                <w:bCs/>
                <w:color w:val="000000"/>
                <w:lang w:eastAsia="sl-SI"/>
              </w:rPr>
              <w:t xml:space="preserve"> - stroški</w:t>
            </w:r>
          </w:p>
        </w:tc>
        <w:tc>
          <w:tcPr>
            <w:tcW w:w="1960" w:type="dxa"/>
            <w:tcBorders>
              <w:top w:val="single" w:sz="8" w:space="0" w:color="auto"/>
              <w:left w:val="nil"/>
              <w:bottom w:val="single" w:sz="8" w:space="0" w:color="auto"/>
              <w:right w:val="nil"/>
            </w:tcBorders>
            <w:shd w:val="clear" w:color="000000" w:fill="4F81BD"/>
            <w:vAlign w:val="bottom"/>
          </w:tcPr>
          <w:p w:rsidR="00087CF4" w:rsidRPr="006364B6" w:rsidRDefault="00087CF4" w:rsidP="006364B6">
            <w:pPr>
              <w:spacing w:after="0" w:line="240" w:lineRule="auto"/>
              <w:jc w:val="center"/>
              <w:rPr>
                <w:b/>
                <w:bCs/>
                <w:color w:val="000000"/>
                <w:lang w:eastAsia="sl-SI"/>
              </w:rPr>
            </w:pPr>
            <w:r w:rsidRPr="006364B6">
              <w:rPr>
                <w:b/>
                <w:bCs/>
                <w:color w:val="000000"/>
                <w:lang w:eastAsia="sl-SI"/>
              </w:rPr>
              <w:t> </w:t>
            </w:r>
          </w:p>
        </w:tc>
        <w:tc>
          <w:tcPr>
            <w:tcW w:w="1660" w:type="dxa"/>
            <w:tcBorders>
              <w:top w:val="single" w:sz="8" w:space="0" w:color="auto"/>
              <w:left w:val="nil"/>
              <w:bottom w:val="single" w:sz="8" w:space="0" w:color="auto"/>
              <w:right w:val="nil"/>
            </w:tcBorders>
            <w:shd w:val="clear" w:color="000000" w:fill="4F81BD"/>
            <w:vAlign w:val="bottom"/>
          </w:tcPr>
          <w:p w:rsidR="00087CF4" w:rsidRPr="006364B6" w:rsidRDefault="00087CF4" w:rsidP="006364B6">
            <w:pPr>
              <w:spacing w:after="0" w:line="240" w:lineRule="auto"/>
              <w:jc w:val="left"/>
              <w:rPr>
                <w:color w:val="000000"/>
                <w:lang w:eastAsia="sl-SI"/>
              </w:rPr>
            </w:pPr>
            <w:r w:rsidRPr="006364B6">
              <w:rPr>
                <w:color w:val="000000"/>
                <w:lang w:eastAsia="sl-SI"/>
              </w:rPr>
              <w:t> </w:t>
            </w:r>
          </w:p>
        </w:tc>
        <w:tc>
          <w:tcPr>
            <w:tcW w:w="1480" w:type="dxa"/>
            <w:tcBorders>
              <w:top w:val="single" w:sz="8" w:space="0" w:color="auto"/>
              <w:left w:val="nil"/>
              <w:bottom w:val="single" w:sz="8" w:space="0" w:color="auto"/>
              <w:right w:val="single" w:sz="8" w:space="0" w:color="auto"/>
            </w:tcBorders>
            <w:shd w:val="clear" w:color="000000" w:fill="4F81BD"/>
            <w:vAlign w:val="bottom"/>
          </w:tcPr>
          <w:p w:rsidR="00087CF4" w:rsidRPr="006364B6" w:rsidRDefault="00087CF4" w:rsidP="006364B6">
            <w:pPr>
              <w:spacing w:after="0" w:line="240" w:lineRule="auto"/>
              <w:jc w:val="left"/>
              <w:rPr>
                <w:color w:val="000000"/>
                <w:lang w:eastAsia="sl-SI"/>
              </w:rPr>
            </w:pPr>
            <w:r w:rsidRPr="006364B6">
              <w:rPr>
                <w:color w:val="000000"/>
                <w:lang w:eastAsia="sl-SI"/>
              </w:rPr>
              <w:t> </w:t>
            </w:r>
          </w:p>
        </w:tc>
      </w:tr>
      <w:tr w:rsidR="00087CF4" w:rsidRPr="002A2B2C" w:rsidTr="006364B6">
        <w:trPr>
          <w:trHeight w:val="900"/>
        </w:trPr>
        <w:tc>
          <w:tcPr>
            <w:tcW w:w="3280" w:type="dxa"/>
            <w:tcBorders>
              <w:top w:val="nil"/>
              <w:left w:val="single" w:sz="4" w:space="0" w:color="auto"/>
              <w:bottom w:val="single" w:sz="4" w:space="0" w:color="auto"/>
              <w:right w:val="single" w:sz="4" w:space="0" w:color="auto"/>
            </w:tcBorders>
            <w:vAlign w:val="center"/>
          </w:tcPr>
          <w:p w:rsidR="00087CF4" w:rsidRPr="006364B6" w:rsidRDefault="00087CF4" w:rsidP="006364B6">
            <w:pPr>
              <w:spacing w:after="0" w:line="240" w:lineRule="auto"/>
              <w:jc w:val="left"/>
              <w:rPr>
                <w:color w:val="000000"/>
                <w:lang w:eastAsia="sl-SI"/>
              </w:rPr>
            </w:pPr>
            <w:r w:rsidRPr="006364B6">
              <w:rPr>
                <w:color w:val="000000"/>
                <w:lang w:eastAsia="sl-SI"/>
              </w:rPr>
              <w:t>Neposredni stroški materiala in storitev</w:t>
            </w:r>
          </w:p>
        </w:tc>
        <w:tc>
          <w:tcPr>
            <w:tcW w:w="1960" w:type="dxa"/>
            <w:tcBorders>
              <w:top w:val="nil"/>
              <w:left w:val="nil"/>
              <w:bottom w:val="single" w:sz="4" w:space="0" w:color="auto"/>
              <w:right w:val="single" w:sz="4" w:space="0" w:color="auto"/>
            </w:tcBorders>
            <w:noWrap/>
            <w:vAlign w:val="center"/>
          </w:tcPr>
          <w:p w:rsidR="00087CF4" w:rsidRPr="006364B6" w:rsidRDefault="00087CF4" w:rsidP="006364B6">
            <w:pPr>
              <w:spacing w:after="0" w:line="240" w:lineRule="auto"/>
              <w:jc w:val="center"/>
              <w:rPr>
                <w:color w:val="000000"/>
                <w:lang w:eastAsia="sl-SI"/>
              </w:rPr>
            </w:pPr>
            <w:r>
              <w:rPr>
                <w:color w:val="000000"/>
                <w:lang w:eastAsia="sl-SI"/>
              </w:rPr>
              <w:t>2.604,68</w:t>
            </w:r>
          </w:p>
        </w:tc>
        <w:tc>
          <w:tcPr>
            <w:tcW w:w="1660" w:type="dxa"/>
            <w:tcBorders>
              <w:top w:val="nil"/>
              <w:left w:val="nil"/>
              <w:bottom w:val="single" w:sz="4" w:space="0" w:color="auto"/>
              <w:right w:val="single" w:sz="4" w:space="0" w:color="auto"/>
            </w:tcBorders>
            <w:noWrap/>
            <w:vAlign w:val="center"/>
          </w:tcPr>
          <w:p w:rsidR="00087CF4" w:rsidRPr="006364B6" w:rsidRDefault="00087CF4" w:rsidP="006364B6">
            <w:pPr>
              <w:spacing w:after="0" w:line="240" w:lineRule="auto"/>
              <w:jc w:val="center"/>
              <w:rPr>
                <w:color w:val="000000"/>
                <w:lang w:eastAsia="sl-SI"/>
              </w:rPr>
            </w:pPr>
            <w:r>
              <w:rPr>
                <w:color w:val="000000"/>
                <w:lang w:eastAsia="sl-SI"/>
              </w:rPr>
              <w:t>1.959,93</w:t>
            </w:r>
          </w:p>
        </w:tc>
        <w:tc>
          <w:tcPr>
            <w:tcW w:w="1480" w:type="dxa"/>
            <w:tcBorders>
              <w:top w:val="nil"/>
              <w:left w:val="nil"/>
              <w:bottom w:val="single" w:sz="4" w:space="0" w:color="auto"/>
              <w:right w:val="single" w:sz="4" w:space="0" w:color="auto"/>
            </w:tcBorders>
            <w:noWrap/>
            <w:vAlign w:val="center"/>
          </w:tcPr>
          <w:p w:rsidR="00087CF4" w:rsidRPr="006364B6" w:rsidRDefault="00087CF4" w:rsidP="006364B6">
            <w:pPr>
              <w:spacing w:after="0" w:line="240" w:lineRule="auto"/>
              <w:jc w:val="center"/>
              <w:rPr>
                <w:color w:val="000000"/>
                <w:lang w:eastAsia="sl-SI"/>
              </w:rPr>
            </w:pPr>
            <w:r>
              <w:rPr>
                <w:color w:val="000000"/>
                <w:lang w:eastAsia="sl-SI"/>
              </w:rPr>
              <w:t>0,009</w:t>
            </w:r>
          </w:p>
        </w:tc>
      </w:tr>
      <w:tr w:rsidR="00087CF4" w:rsidRPr="002A2B2C" w:rsidTr="006364B6">
        <w:trPr>
          <w:trHeight w:val="900"/>
        </w:trPr>
        <w:tc>
          <w:tcPr>
            <w:tcW w:w="3280" w:type="dxa"/>
            <w:tcBorders>
              <w:top w:val="nil"/>
              <w:left w:val="single" w:sz="4" w:space="0" w:color="auto"/>
              <w:bottom w:val="single" w:sz="4" w:space="0" w:color="auto"/>
              <w:right w:val="single" w:sz="4" w:space="0" w:color="auto"/>
            </w:tcBorders>
            <w:vAlign w:val="center"/>
          </w:tcPr>
          <w:p w:rsidR="00087CF4" w:rsidRPr="006364B6" w:rsidRDefault="00087CF4" w:rsidP="006364B6">
            <w:pPr>
              <w:spacing w:after="0" w:line="240" w:lineRule="auto"/>
              <w:jc w:val="left"/>
              <w:rPr>
                <w:color w:val="000000"/>
                <w:lang w:eastAsia="sl-SI"/>
              </w:rPr>
            </w:pPr>
            <w:r w:rsidRPr="006364B6">
              <w:rPr>
                <w:color w:val="000000"/>
                <w:lang w:eastAsia="sl-SI"/>
              </w:rPr>
              <w:t>Neposredni stroški dela</w:t>
            </w:r>
          </w:p>
        </w:tc>
        <w:tc>
          <w:tcPr>
            <w:tcW w:w="1960" w:type="dxa"/>
            <w:tcBorders>
              <w:top w:val="nil"/>
              <w:left w:val="nil"/>
              <w:bottom w:val="single" w:sz="4" w:space="0" w:color="auto"/>
              <w:right w:val="single" w:sz="4" w:space="0" w:color="auto"/>
            </w:tcBorders>
            <w:noWrap/>
            <w:vAlign w:val="center"/>
          </w:tcPr>
          <w:p w:rsidR="00087CF4" w:rsidRPr="006364B6" w:rsidRDefault="00087CF4" w:rsidP="006364B6">
            <w:pPr>
              <w:spacing w:after="0" w:line="240" w:lineRule="auto"/>
              <w:jc w:val="center"/>
              <w:rPr>
                <w:color w:val="000000"/>
                <w:lang w:eastAsia="sl-SI"/>
              </w:rPr>
            </w:pPr>
            <w:r>
              <w:rPr>
                <w:color w:val="000000"/>
                <w:lang w:eastAsia="sl-SI"/>
              </w:rPr>
              <w:t>12.124,35</w:t>
            </w:r>
          </w:p>
        </w:tc>
        <w:tc>
          <w:tcPr>
            <w:tcW w:w="1660" w:type="dxa"/>
            <w:tcBorders>
              <w:top w:val="nil"/>
              <w:left w:val="nil"/>
              <w:bottom w:val="single" w:sz="4" w:space="0" w:color="auto"/>
              <w:right w:val="single" w:sz="4" w:space="0" w:color="auto"/>
            </w:tcBorders>
            <w:noWrap/>
            <w:vAlign w:val="center"/>
          </w:tcPr>
          <w:p w:rsidR="00087CF4" w:rsidRPr="006364B6" w:rsidRDefault="00087CF4" w:rsidP="006364B6">
            <w:pPr>
              <w:spacing w:after="0" w:line="240" w:lineRule="auto"/>
              <w:jc w:val="center"/>
              <w:rPr>
                <w:color w:val="000000"/>
                <w:lang w:eastAsia="sl-SI"/>
              </w:rPr>
            </w:pPr>
            <w:r>
              <w:rPr>
                <w:color w:val="000000"/>
                <w:lang w:eastAsia="sl-SI"/>
              </w:rPr>
              <w:t>13.557,15</w:t>
            </w:r>
          </w:p>
        </w:tc>
        <w:tc>
          <w:tcPr>
            <w:tcW w:w="1480" w:type="dxa"/>
            <w:tcBorders>
              <w:top w:val="nil"/>
              <w:left w:val="nil"/>
              <w:bottom w:val="single" w:sz="4" w:space="0" w:color="auto"/>
              <w:right w:val="single" w:sz="4" w:space="0" w:color="auto"/>
            </w:tcBorders>
            <w:noWrap/>
            <w:vAlign w:val="center"/>
          </w:tcPr>
          <w:p w:rsidR="00087CF4" w:rsidRPr="006364B6" w:rsidRDefault="00087CF4" w:rsidP="006364B6">
            <w:pPr>
              <w:spacing w:after="0" w:line="240" w:lineRule="auto"/>
              <w:jc w:val="center"/>
              <w:rPr>
                <w:color w:val="000000"/>
                <w:lang w:eastAsia="sl-SI"/>
              </w:rPr>
            </w:pPr>
            <w:r>
              <w:rPr>
                <w:color w:val="000000"/>
                <w:lang w:eastAsia="sl-SI"/>
              </w:rPr>
              <w:t>0,89</w:t>
            </w:r>
          </w:p>
        </w:tc>
      </w:tr>
      <w:tr w:rsidR="00087CF4" w:rsidRPr="002A2B2C" w:rsidTr="006364B6">
        <w:trPr>
          <w:trHeight w:val="900"/>
        </w:trPr>
        <w:tc>
          <w:tcPr>
            <w:tcW w:w="3280" w:type="dxa"/>
            <w:tcBorders>
              <w:top w:val="nil"/>
              <w:left w:val="single" w:sz="4" w:space="0" w:color="auto"/>
              <w:bottom w:val="single" w:sz="4" w:space="0" w:color="auto"/>
              <w:right w:val="single" w:sz="4" w:space="0" w:color="auto"/>
            </w:tcBorders>
            <w:vAlign w:val="center"/>
          </w:tcPr>
          <w:p w:rsidR="00087CF4" w:rsidRPr="006364B6" w:rsidRDefault="00087CF4" w:rsidP="006364B6">
            <w:pPr>
              <w:spacing w:after="0" w:line="240" w:lineRule="auto"/>
              <w:jc w:val="left"/>
              <w:rPr>
                <w:color w:val="000000"/>
                <w:lang w:eastAsia="sl-SI"/>
              </w:rPr>
            </w:pPr>
            <w:r w:rsidRPr="006364B6">
              <w:rPr>
                <w:color w:val="000000"/>
                <w:lang w:eastAsia="sl-SI"/>
              </w:rPr>
              <w:t>Drugi neposredni stroški</w:t>
            </w:r>
          </w:p>
        </w:tc>
        <w:tc>
          <w:tcPr>
            <w:tcW w:w="1960" w:type="dxa"/>
            <w:tcBorders>
              <w:top w:val="nil"/>
              <w:left w:val="nil"/>
              <w:bottom w:val="single" w:sz="4" w:space="0" w:color="auto"/>
              <w:right w:val="single" w:sz="4" w:space="0" w:color="auto"/>
            </w:tcBorders>
            <w:noWrap/>
            <w:vAlign w:val="center"/>
          </w:tcPr>
          <w:p w:rsidR="00087CF4" w:rsidRPr="006364B6" w:rsidRDefault="00087CF4" w:rsidP="006364B6">
            <w:pPr>
              <w:spacing w:after="0" w:line="240" w:lineRule="auto"/>
              <w:jc w:val="center"/>
              <w:rPr>
                <w:color w:val="000000"/>
                <w:lang w:eastAsia="sl-SI"/>
              </w:rPr>
            </w:pPr>
            <w:r>
              <w:rPr>
                <w:color w:val="000000"/>
                <w:lang w:eastAsia="sl-SI"/>
              </w:rPr>
              <w:t>31.381,04</w:t>
            </w:r>
          </w:p>
        </w:tc>
        <w:tc>
          <w:tcPr>
            <w:tcW w:w="1660" w:type="dxa"/>
            <w:tcBorders>
              <w:top w:val="nil"/>
              <w:left w:val="nil"/>
              <w:bottom w:val="single" w:sz="4" w:space="0" w:color="auto"/>
              <w:right w:val="single" w:sz="4" w:space="0" w:color="auto"/>
            </w:tcBorders>
            <w:noWrap/>
            <w:vAlign w:val="center"/>
          </w:tcPr>
          <w:p w:rsidR="00087CF4" w:rsidRPr="006364B6" w:rsidRDefault="00087CF4" w:rsidP="006364B6">
            <w:pPr>
              <w:spacing w:after="0" w:line="240" w:lineRule="auto"/>
              <w:jc w:val="center"/>
              <w:rPr>
                <w:color w:val="000000"/>
                <w:lang w:eastAsia="sl-SI"/>
              </w:rPr>
            </w:pPr>
            <w:r>
              <w:rPr>
                <w:color w:val="000000"/>
                <w:lang w:eastAsia="sl-SI"/>
              </w:rPr>
              <w:t>31.330,00</w:t>
            </w:r>
          </w:p>
        </w:tc>
        <w:tc>
          <w:tcPr>
            <w:tcW w:w="1480" w:type="dxa"/>
            <w:tcBorders>
              <w:top w:val="nil"/>
              <w:left w:val="nil"/>
              <w:bottom w:val="single" w:sz="4" w:space="0" w:color="auto"/>
              <w:right w:val="single" w:sz="4" w:space="0" w:color="auto"/>
            </w:tcBorders>
            <w:noWrap/>
            <w:vAlign w:val="center"/>
          </w:tcPr>
          <w:p w:rsidR="00087CF4" w:rsidRPr="006364B6" w:rsidRDefault="00087CF4" w:rsidP="006364B6">
            <w:pPr>
              <w:spacing w:after="0" w:line="240" w:lineRule="auto"/>
              <w:jc w:val="center"/>
              <w:rPr>
                <w:color w:val="000000"/>
                <w:lang w:eastAsia="sl-SI"/>
              </w:rPr>
            </w:pPr>
            <w:r>
              <w:rPr>
                <w:color w:val="000000"/>
                <w:lang w:eastAsia="sl-SI"/>
              </w:rPr>
              <w:t>1,00</w:t>
            </w:r>
          </w:p>
        </w:tc>
      </w:tr>
      <w:tr w:rsidR="00087CF4" w:rsidRPr="002A2B2C" w:rsidTr="006364B6">
        <w:trPr>
          <w:trHeight w:val="1410"/>
        </w:trPr>
        <w:tc>
          <w:tcPr>
            <w:tcW w:w="3280" w:type="dxa"/>
            <w:tcBorders>
              <w:top w:val="nil"/>
              <w:left w:val="single" w:sz="4" w:space="0" w:color="auto"/>
              <w:bottom w:val="single" w:sz="4" w:space="0" w:color="auto"/>
              <w:right w:val="single" w:sz="4" w:space="0" w:color="auto"/>
            </w:tcBorders>
            <w:vAlign w:val="center"/>
          </w:tcPr>
          <w:p w:rsidR="00087CF4" w:rsidRPr="006364B6" w:rsidRDefault="00087CF4" w:rsidP="006364B6">
            <w:pPr>
              <w:spacing w:after="0" w:line="240" w:lineRule="auto"/>
              <w:jc w:val="left"/>
              <w:rPr>
                <w:color w:val="000000"/>
                <w:lang w:eastAsia="sl-SI"/>
              </w:rPr>
            </w:pPr>
            <w:r w:rsidRPr="006364B6">
              <w:rPr>
                <w:color w:val="000000"/>
                <w:lang w:eastAsia="sl-SI"/>
              </w:rPr>
              <w:t>Splošni (posredni) proizvajalni stroški, ki vključujejo stroške materiala, amortizacije, poslovno potrebnih OS, storitev in dela</w:t>
            </w:r>
          </w:p>
        </w:tc>
        <w:tc>
          <w:tcPr>
            <w:tcW w:w="1960" w:type="dxa"/>
            <w:tcBorders>
              <w:top w:val="nil"/>
              <w:left w:val="nil"/>
              <w:bottom w:val="single" w:sz="4" w:space="0" w:color="auto"/>
              <w:right w:val="single" w:sz="4" w:space="0" w:color="auto"/>
            </w:tcBorders>
            <w:noWrap/>
            <w:vAlign w:val="center"/>
          </w:tcPr>
          <w:p w:rsidR="00087CF4" w:rsidRPr="006364B6" w:rsidRDefault="00087CF4" w:rsidP="006364B6">
            <w:pPr>
              <w:spacing w:after="0" w:line="240" w:lineRule="auto"/>
              <w:jc w:val="center"/>
              <w:rPr>
                <w:color w:val="000000"/>
                <w:lang w:eastAsia="sl-SI"/>
              </w:rPr>
            </w:pPr>
            <w:r w:rsidRPr="006364B6">
              <w:rPr>
                <w:color w:val="000000"/>
                <w:lang w:eastAsia="sl-SI"/>
              </w:rPr>
              <w:t>-</w:t>
            </w:r>
          </w:p>
        </w:tc>
        <w:tc>
          <w:tcPr>
            <w:tcW w:w="1660" w:type="dxa"/>
            <w:tcBorders>
              <w:top w:val="nil"/>
              <w:left w:val="nil"/>
              <w:bottom w:val="single" w:sz="4" w:space="0" w:color="auto"/>
              <w:right w:val="single" w:sz="4" w:space="0" w:color="auto"/>
            </w:tcBorders>
            <w:noWrap/>
            <w:vAlign w:val="center"/>
          </w:tcPr>
          <w:p w:rsidR="00087CF4" w:rsidRPr="006364B6" w:rsidRDefault="00087CF4" w:rsidP="006364B6">
            <w:pPr>
              <w:spacing w:after="0" w:line="240" w:lineRule="auto"/>
              <w:jc w:val="center"/>
              <w:rPr>
                <w:color w:val="000000"/>
                <w:lang w:eastAsia="sl-SI"/>
              </w:rPr>
            </w:pPr>
            <w:r w:rsidRPr="006364B6">
              <w:rPr>
                <w:color w:val="000000"/>
                <w:lang w:eastAsia="sl-SI"/>
              </w:rPr>
              <w:t>-</w:t>
            </w:r>
          </w:p>
        </w:tc>
        <w:tc>
          <w:tcPr>
            <w:tcW w:w="1480" w:type="dxa"/>
            <w:tcBorders>
              <w:top w:val="nil"/>
              <w:left w:val="nil"/>
              <w:bottom w:val="single" w:sz="4" w:space="0" w:color="auto"/>
              <w:right w:val="single" w:sz="4" w:space="0" w:color="auto"/>
            </w:tcBorders>
            <w:noWrap/>
            <w:vAlign w:val="center"/>
          </w:tcPr>
          <w:p w:rsidR="00087CF4" w:rsidRPr="006364B6" w:rsidRDefault="00087CF4" w:rsidP="006364B6">
            <w:pPr>
              <w:spacing w:after="0" w:line="240" w:lineRule="auto"/>
              <w:jc w:val="center"/>
              <w:rPr>
                <w:color w:val="000000"/>
                <w:lang w:eastAsia="sl-SI"/>
              </w:rPr>
            </w:pPr>
            <w:r w:rsidRPr="006364B6">
              <w:rPr>
                <w:color w:val="000000"/>
                <w:lang w:eastAsia="sl-SI"/>
              </w:rPr>
              <w:t> </w:t>
            </w:r>
          </w:p>
        </w:tc>
      </w:tr>
      <w:tr w:rsidR="00087CF4" w:rsidRPr="002A2B2C" w:rsidTr="006364B6">
        <w:trPr>
          <w:trHeight w:val="1455"/>
        </w:trPr>
        <w:tc>
          <w:tcPr>
            <w:tcW w:w="3280" w:type="dxa"/>
            <w:tcBorders>
              <w:top w:val="nil"/>
              <w:left w:val="single" w:sz="4" w:space="0" w:color="auto"/>
              <w:bottom w:val="single" w:sz="4" w:space="0" w:color="auto"/>
              <w:right w:val="single" w:sz="4" w:space="0" w:color="auto"/>
            </w:tcBorders>
            <w:vAlign w:val="center"/>
          </w:tcPr>
          <w:p w:rsidR="00087CF4" w:rsidRPr="006364B6" w:rsidRDefault="00087CF4" w:rsidP="006364B6">
            <w:pPr>
              <w:spacing w:after="0" w:line="240" w:lineRule="auto"/>
              <w:jc w:val="left"/>
              <w:rPr>
                <w:color w:val="000000"/>
                <w:lang w:eastAsia="sl-SI"/>
              </w:rPr>
            </w:pPr>
            <w:r w:rsidRPr="006364B6">
              <w:rPr>
                <w:color w:val="000000"/>
                <w:lang w:eastAsia="sl-SI"/>
              </w:rPr>
              <w:t>Splošni nabavno-prodajni stroški, ki vključujejo stroške materiala, amortizacije, poslovno potrebnih OS, storitev in dela</w:t>
            </w:r>
          </w:p>
        </w:tc>
        <w:tc>
          <w:tcPr>
            <w:tcW w:w="1960" w:type="dxa"/>
            <w:tcBorders>
              <w:top w:val="nil"/>
              <w:left w:val="nil"/>
              <w:bottom w:val="single" w:sz="4" w:space="0" w:color="auto"/>
              <w:right w:val="single" w:sz="4" w:space="0" w:color="auto"/>
            </w:tcBorders>
            <w:noWrap/>
            <w:vAlign w:val="center"/>
          </w:tcPr>
          <w:p w:rsidR="00087CF4" w:rsidRPr="006364B6" w:rsidRDefault="00087CF4" w:rsidP="006364B6">
            <w:pPr>
              <w:spacing w:after="0" w:line="240" w:lineRule="auto"/>
              <w:jc w:val="center"/>
              <w:rPr>
                <w:color w:val="000000"/>
                <w:lang w:eastAsia="sl-SI"/>
              </w:rPr>
            </w:pPr>
            <w:r w:rsidRPr="006364B6">
              <w:rPr>
                <w:color w:val="000000"/>
                <w:lang w:eastAsia="sl-SI"/>
              </w:rPr>
              <w:t>-</w:t>
            </w:r>
          </w:p>
        </w:tc>
        <w:tc>
          <w:tcPr>
            <w:tcW w:w="1660" w:type="dxa"/>
            <w:tcBorders>
              <w:top w:val="nil"/>
              <w:left w:val="nil"/>
              <w:bottom w:val="single" w:sz="4" w:space="0" w:color="auto"/>
              <w:right w:val="single" w:sz="4" w:space="0" w:color="auto"/>
            </w:tcBorders>
            <w:noWrap/>
            <w:vAlign w:val="center"/>
          </w:tcPr>
          <w:p w:rsidR="00087CF4" w:rsidRPr="006364B6" w:rsidRDefault="00087CF4" w:rsidP="006364B6">
            <w:pPr>
              <w:spacing w:after="0" w:line="240" w:lineRule="auto"/>
              <w:jc w:val="center"/>
              <w:rPr>
                <w:color w:val="000000"/>
                <w:lang w:eastAsia="sl-SI"/>
              </w:rPr>
            </w:pPr>
            <w:r w:rsidRPr="006364B6">
              <w:rPr>
                <w:color w:val="000000"/>
                <w:lang w:eastAsia="sl-SI"/>
              </w:rPr>
              <w:t>-</w:t>
            </w:r>
          </w:p>
        </w:tc>
        <w:tc>
          <w:tcPr>
            <w:tcW w:w="1480" w:type="dxa"/>
            <w:tcBorders>
              <w:top w:val="nil"/>
              <w:left w:val="nil"/>
              <w:bottom w:val="single" w:sz="4" w:space="0" w:color="auto"/>
              <w:right w:val="single" w:sz="4" w:space="0" w:color="auto"/>
            </w:tcBorders>
            <w:noWrap/>
            <w:vAlign w:val="center"/>
          </w:tcPr>
          <w:p w:rsidR="00087CF4" w:rsidRPr="006364B6" w:rsidRDefault="00087CF4" w:rsidP="006364B6">
            <w:pPr>
              <w:spacing w:after="0" w:line="240" w:lineRule="auto"/>
              <w:jc w:val="center"/>
              <w:rPr>
                <w:color w:val="000000"/>
                <w:lang w:eastAsia="sl-SI"/>
              </w:rPr>
            </w:pPr>
            <w:r w:rsidRPr="006364B6">
              <w:rPr>
                <w:color w:val="000000"/>
                <w:lang w:eastAsia="sl-SI"/>
              </w:rPr>
              <w:t> </w:t>
            </w:r>
          </w:p>
        </w:tc>
      </w:tr>
      <w:tr w:rsidR="00087CF4" w:rsidRPr="002A2B2C" w:rsidTr="006364B6">
        <w:trPr>
          <w:trHeight w:val="1185"/>
        </w:trPr>
        <w:tc>
          <w:tcPr>
            <w:tcW w:w="3280" w:type="dxa"/>
            <w:tcBorders>
              <w:top w:val="nil"/>
              <w:left w:val="single" w:sz="4" w:space="0" w:color="auto"/>
              <w:bottom w:val="single" w:sz="4" w:space="0" w:color="auto"/>
              <w:right w:val="single" w:sz="4" w:space="0" w:color="auto"/>
            </w:tcBorders>
            <w:vAlign w:val="center"/>
          </w:tcPr>
          <w:p w:rsidR="00087CF4" w:rsidRPr="006364B6" w:rsidRDefault="00087CF4" w:rsidP="006364B6">
            <w:pPr>
              <w:spacing w:after="0" w:line="240" w:lineRule="auto"/>
              <w:jc w:val="left"/>
              <w:rPr>
                <w:color w:val="000000"/>
                <w:lang w:eastAsia="sl-SI"/>
              </w:rPr>
            </w:pPr>
            <w:r w:rsidRPr="006364B6">
              <w:rPr>
                <w:color w:val="000000"/>
                <w:lang w:eastAsia="sl-SI"/>
              </w:rPr>
              <w:t>Splošni upravni stroški, ki vključujejo stroške materiala, amortizacije, poslovno potrebnih OS, storitev in dela</w:t>
            </w:r>
          </w:p>
        </w:tc>
        <w:tc>
          <w:tcPr>
            <w:tcW w:w="1960" w:type="dxa"/>
            <w:tcBorders>
              <w:top w:val="nil"/>
              <w:left w:val="nil"/>
              <w:bottom w:val="single" w:sz="4" w:space="0" w:color="auto"/>
              <w:right w:val="single" w:sz="4" w:space="0" w:color="auto"/>
            </w:tcBorders>
            <w:noWrap/>
            <w:vAlign w:val="center"/>
          </w:tcPr>
          <w:p w:rsidR="00087CF4" w:rsidRPr="006364B6" w:rsidRDefault="00087CF4" w:rsidP="006364B6">
            <w:pPr>
              <w:spacing w:after="0" w:line="240" w:lineRule="auto"/>
              <w:jc w:val="center"/>
              <w:rPr>
                <w:color w:val="000000"/>
                <w:lang w:eastAsia="sl-SI"/>
              </w:rPr>
            </w:pPr>
            <w:r w:rsidRPr="006364B6">
              <w:rPr>
                <w:color w:val="000000"/>
                <w:lang w:eastAsia="sl-SI"/>
              </w:rPr>
              <w:t>-</w:t>
            </w:r>
          </w:p>
        </w:tc>
        <w:tc>
          <w:tcPr>
            <w:tcW w:w="1660" w:type="dxa"/>
            <w:tcBorders>
              <w:top w:val="nil"/>
              <w:left w:val="nil"/>
              <w:bottom w:val="single" w:sz="4" w:space="0" w:color="auto"/>
              <w:right w:val="single" w:sz="4" w:space="0" w:color="auto"/>
            </w:tcBorders>
            <w:noWrap/>
            <w:vAlign w:val="center"/>
          </w:tcPr>
          <w:p w:rsidR="00087CF4" w:rsidRPr="006364B6" w:rsidRDefault="00087CF4" w:rsidP="006364B6">
            <w:pPr>
              <w:spacing w:after="0" w:line="240" w:lineRule="auto"/>
              <w:jc w:val="center"/>
              <w:rPr>
                <w:color w:val="000000"/>
                <w:lang w:eastAsia="sl-SI"/>
              </w:rPr>
            </w:pPr>
            <w:r w:rsidRPr="006364B6">
              <w:rPr>
                <w:color w:val="000000"/>
                <w:lang w:eastAsia="sl-SI"/>
              </w:rPr>
              <w:t>-</w:t>
            </w:r>
          </w:p>
        </w:tc>
        <w:tc>
          <w:tcPr>
            <w:tcW w:w="1480" w:type="dxa"/>
            <w:tcBorders>
              <w:top w:val="nil"/>
              <w:left w:val="nil"/>
              <w:bottom w:val="single" w:sz="4" w:space="0" w:color="auto"/>
              <w:right w:val="single" w:sz="4" w:space="0" w:color="auto"/>
            </w:tcBorders>
            <w:noWrap/>
            <w:vAlign w:val="center"/>
          </w:tcPr>
          <w:p w:rsidR="00087CF4" w:rsidRPr="006364B6" w:rsidRDefault="00087CF4" w:rsidP="006364B6">
            <w:pPr>
              <w:spacing w:after="0" w:line="240" w:lineRule="auto"/>
              <w:jc w:val="center"/>
              <w:rPr>
                <w:color w:val="000000"/>
                <w:lang w:eastAsia="sl-SI"/>
              </w:rPr>
            </w:pPr>
            <w:r w:rsidRPr="006364B6">
              <w:rPr>
                <w:color w:val="000000"/>
                <w:lang w:eastAsia="sl-SI"/>
              </w:rPr>
              <w:t> </w:t>
            </w:r>
          </w:p>
        </w:tc>
      </w:tr>
      <w:tr w:rsidR="00087CF4" w:rsidRPr="002A2B2C" w:rsidTr="006364B6">
        <w:trPr>
          <w:trHeight w:val="900"/>
        </w:trPr>
        <w:tc>
          <w:tcPr>
            <w:tcW w:w="3280" w:type="dxa"/>
            <w:tcBorders>
              <w:top w:val="nil"/>
              <w:left w:val="single" w:sz="4" w:space="0" w:color="auto"/>
              <w:bottom w:val="single" w:sz="4" w:space="0" w:color="auto"/>
              <w:right w:val="single" w:sz="4" w:space="0" w:color="auto"/>
            </w:tcBorders>
            <w:vAlign w:val="center"/>
          </w:tcPr>
          <w:p w:rsidR="00087CF4" w:rsidRPr="006364B6" w:rsidRDefault="00087CF4" w:rsidP="006364B6">
            <w:pPr>
              <w:spacing w:after="0" w:line="240" w:lineRule="auto"/>
              <w:jc w:val="left"/>
              <w:rPr>
                <w:color w:val="000000"/>
                <w:lang w:eastAsia="sl-SI"/>
              </w:rPr>
            </w:pPr>
            <w:r w:rsidRPr="006364B6">
              <w:rPr>
                <w:color w:val="000000"/>
                <w:lang w:eastAsia="sl-SI"/>
              </w:rPr>
              <w:t>Obresti zaradi financiranja opravljanja storitev javne službe</w:t>
            </w:r>
          </w:p>
        </w:tc>
        <w:tc>
          <w:tcPr>
            <w:tcW w:w="1960" w:type="dxa"/>
            <w:tcBorders>
              <w:top w:val="nil"/>
              <w:left w:val="nil"/>
              <w:bottom w:val="single" w:sz="4" w:space="0" w:color="auto"/>
              <w:right w:val="single" w:sz="4" w:space="0" w:color="auto"/>
            </w:tcBorders>
            <w:noWrap/>
            <w:vAlign w:val="center"/>
          </w:tcPr>
          <w:p w:rsidR="00087CF4" w:rsidRPr="006364B6" w:rsidRDefault="00087CF4" w:rsidP="006364B6">
            <w:pPr>
              <w:spacing w:after="0" w:line="240" w:lineRule="auto"/>
              <w:jc w:val="center"/>
              <w:rPr>
                <w:color w:val="000000"/>
                <w:lang w:eastAsia="sl-SI"/>
              </w:rPr>
            </w:pPr>
            <w:r w:rsidRPr="006364B6">
              <w:rPr>
                <w:color w:val="000000"/>
                <w:lang w:eastAsia="sl-SI"/>
              </w:rPr>
              <w:t>-</w:t>
            </w:r>
          </w:p>
        </w:tc>
        <w:tc>
          <w:tcPr>
            <w:tcW w:w="1660" w:type="dxa"/>
            <w:tcBorders>
              <w:top w:val="nil"/>
              <w:left w:val="nil"/>
              <w:bottom w:val="single" w:sz="4" w:space="0" w:color="auto"/>
              <w:right w:val="single" w:sz="4" w:space="0" w:color="auto"/>
            </w:tcBorders>
            <w:noWrap/>
            <w:vAlign w:val="center"/>
          </w:tcPr>
          <w:p w:rsidR="00087CF4" w:rsidRPr="006364B6" w:rsidRDefault="00087CF4" w:rsidP="006364B6">
            <w:pPr>
              <w:spacing w:after="0" w:line="240" w:lineRule="auto"/>
              <w:jc w:val="center"/>
              <w:rPr>
                <w:color w:val="000000"/>
                <w:lang w:eastAsia="sl-SI"/>
              </w:rPr>
            </w:pPr>
            <w:r w:rsidRPr="006364B6">
              <w:rPr>
                <w:color w:val="000000"/>
                <w:lang w:eastAsia="sl-SI"/>
              </w:rPr>
              <w:t>-</w:t>
            </w:r>
          </w:p>
        </w:tc>
        <w:tc>
          <w:tcPr>
            <w:tcW w:w="1480" w:type="dxa"/>
            <w:tcBorders>
              <w:top w:val="nil"/>
              <w:left w:val="nil"/>
              <w:bottom w:val="single" w:sz="4" w:space="0" w:color="auto"/>
              <w:right w:val="single" w:sz="4" w:space="0" w:color="auto"/>
            </w:tcBorders>
            <w:noWrap/>
            <w:vAlign w:val="center"/>
          </w:tcPr>
          <w:p w:rsidR="00087CF4" w:rsidRPr="006364B6" w:rsidRDefault="00087CF4" w:rsidP="006364B6">
            <w:pPr>
              <w:spacing w:after="0" w:line="240" w:lineRule="auto"/>
              <w:jc w:val="center"/>
              <w:rPr>
                <w:color w:val="000000"/>
                <w:lang w:eastAsia="sl-SI"/>
              </w:rPr>
            </w:pPr>
            <w:r w:rsidRPr="006364B6">
              <w:rPr>
                <w:color w:val="000000"/>
                <w:lang w:eastAsia="sl-SI"/>
              </w:rPr>
              <w:t> </w:t>
            </w:r>
          </w:p>
        </w:tc>
      </w:tr>
      <w:tr w:rsidR="00087CF4" w:rsidRPr="002A2B2C" w:rsidTr="006364B6">
        <w:trPr>
          <w:trHeight w:val="900"/>
        </w:trPr>
        <w:tc>
          <w:tcPr>
            <w:tcW w:w="3280" w:type="dxa"/>
            <w:tcBorders>
              <w:top w:val="nil"/>
              <w:left w:val="single" w:sz="4" w:space="0" w:color="auto"/>
              <w:bottom w:val="single" w:sz="4" w:space="0" w:color="auto"/>
              <w:right w:val="single" w:sz="4" w:space="0" w:color="auto"/>
            </w:tcBorders>
            <w:vAlign w:val="center"/>
          </w:tcPr>
          <w:p w:rsidR="00087CF4" w:rsidRPr="006364B6" w:rsidRDefault="00087CF4" w:rsidP="006364B6">
            <w:pPr>
              <w:spacing w:after="0" w:line="240" w:lineRule="auto"/>
              <w:jc w:val="left"/>
              <w:rPr>
                <w:color w:val="000000"/>
                <w:lang w:eastAsia="sl-SI"/>
              </w:rPr>
            </w:pPr>
            <w:r w:rsidRPr="006364B6">
              <w:rPr>
                <w:color w:val="000000"/>
                <w:lang w:eastAsia="sl-SI"/>
              </w:rPr>
              <w:t>Neposredni stroški prodaje</w:t>
            </w:r>
          </w:p>
        </w:tc>
        <w:tc>
          <w:tcPr>
            <w:tcW w:w="1960" w:type="dxa"/>
            <w:tcBorders>
              <w:top w:val="nil"/>
              <w:left w:val="nil"/>
              <w:bottom w:val="single" w:sz="4" w:space="0" w:color="auto"/>
              <w:right w:val="single" w:sz="4" w:space="0" w:color="auto"/>
            </w:tcBorders>
            <w:noWrap/>
            <w:vAlign w:val="center"/>
          </w:tcPr>
          <w:p w:rsidR="00087CF4" w:rsidRPr="006364B6" w:rsidRDefault="00087CF4" w:rsidP="006364B6">
            <w:pPr>
              <w:spacing w:after="0" w:line="240" w:lineRule="auto"/>
              <w:jc w:val="center"/>
              <w:rPr>
                <w:color w:val="000000"/>
                <w:lang w:eastAsia="sl-SI"/>
              </w:rPr>
            </w:pPr>
            <w:r w:rsidRPr="006364B6">
              <w:rPr>
                <w:color w:val="000000"/>
                <w:lang w:eastAsia="sl-SI"/>
              </w:rPr>
              <w:t>-</w:t>
            </w:r>
          </w:p>
        </w:tc>
        <w:tc>
          <w:tcPr>
            <w:tcW w:w="1660" w:type="dxa"/>
            <w:tcBorders>
              <w:top w:val="nil"/>
              <w:left w:val="nil"/>
              <w:bottom w:val="single" w:sz="4" w:space="0" w:color="auto"/>
              <w:right w:val="single" w:sz="4" w:space="0" w:color="auto"/>
            </w:tcBorders>
            <w:noWrap/>
            <w:vAlign w:val="center"/>
          </w:tcPr>
          <w:p w:rsidR="00087CF4" w:rsidRPr="006364B6" w:rsidRDefault="00087CF4" w:rsidP="006364B6">
            <w:pPr>
              <w:spacing w:after="0" w:line="240" w:lineRule="auto"/>
              <w:jc w:val="center"/>
              <w:rPr>
                <w:color w:val="000000"/>
                <w:lang w:eastAsia="sl-SI"/>
              </w:rPr>
            </w:pPr>
            <w:r w:rsidRPr="006364B6">
              <w:rPr>
                <w:color w:val="000000"/>
                <w:lang w:eastAsia="sl-SI"/>
              </w:rPr>
              <w:t>-</w:t>
            </w:r>
          </w:p>
        </w:tc>
        <w:tc>
          <w:tcPr>
            <w:tcW w:w="1480" w:type="dxa"/>
            <w:tcBorders>
              <w:top w:val="nil"/>
              <w:left w:val="nil"/>
              <w:bottom w:val="single" w:sz="4" w:space="0" w:color="auto"/>
              <w:right w:val="single" w:sz="4" w:space="0" w:color="auto"/>
            </w:tcBorders>
            <w:noWrap/>
            <w:vAlign w:val="center"/>
          </w:tcPr>
          <w:p w:rsidR="00087CF4" w:rsidRPr="006364B6" w:rsidRDefault="00087CF4" w:rsidP="006364B6">
            <w:pPr>
              <w:spacing w:after="0" w:line="240" w:lineRule="auto"/>
              <w:jc w:val="center"/>
              <w:rPr>
                <w:color w:val="000000"/>
                <w:lang w:eastAsia="sl-SI"/>
              </w:rPr>
            </w:pPr>
            <w:r w:rsidRPr="006364B6">
              <w:rPr>
                <w:color w:val="000000"/>
                <w:lang w:eastAsia="sl-SI"/>
              </w:rPr>
              <w:t> </w:t>
            </w:r>
          </w:p>
        </w:tc>
      </w:tr>
      <w:tr w:rsidR="00087CF4" w:rsidRPr="002A2B2C" w:rsidTr="006364B6">
        <w:trPr>
          <w:trHeight w:val="1440"/>
        </w:trPr>
        <w:tc>
          <w:tcPr>
            <w:tcW w:w="3280" w:type="dxa"/>
            <w:tcBorders>
              <w:top w:val="nil"/>
              <w:left w:val="single" w:sz="4" w:space="0" w:color="auto"/>
              <w:bottom w:val="single" w:sz="4" w:space="0" w:color="auto"/>
              <w:right w:val="single" w:sz="4" w:space="0" w:color="auto"/>
            </w:tcBorders>
            <w:vAlign w:val="center"/>
          </w:tcPr>
          <w:p w:rsidR="00087CF4" w:rsidRPr="006364B6" w:rsidRDefault="00087CF4" w:rsidP="006364B6">
            <w:pPr>
              <w:spacing w:after="0" w:line="240" w:lineRule="auto"/>
              <w:jc w:val="left"/>
              <w:rPr>
                <w:color w:val="000000"/>
                <w:lang w:eastAsia="sl-SI"/>
              </w:rPr>
            </w:pPr>
            <w:r w:rsidRPr="006364B6">
              <w:rPr>
                <w:color w:val="000000"/>
                <w:lang w:eastAsia="sl-SI"/>
              </w:rPr>
              <w:t>Stroški vodnega povračila za prodano pitno vodo in za vodne izgube do dopustne ravni vodnih izgub v skladu s predpisom, ki ureja oskrbo s pitno vodo</w:t>
            </w:r>
          </w:p>
        </w:tc>
        <w:tc>
          <w:tcPr>
            <w:tcW w:w="1960" w:type="dxa"/>
            <w:tcBorders>
              <w:top w:val="nil"/>
              <w:left w:val="nil"/>
              <w:bottom w:val="single" w:sz="4" w:space="0" w:color="auto"/>
              <w:right w:val="single" w:sz="4" w:space="0" w:color="auto"/>
            </w:tcBorders>
            <w:noWrap/>
            <w:vAlign w:val="center"/>
          </w:tcPr>
          <w:p w:rsidR="00087CF4" w:rsidRPr="006364B6" w:rsidRDefault="00087CF4" w:rsidP="006364B6">
            <w:pPr>
              <w:spacing w:after="0" w:line="240" w:lineRule="auto"/>
              <w:jc w:val="center"/>
              <w:rPr>
                <w:color w:val="000000"/>
                <w:lang w:eastAsia="sl-SI"/>
              </w:rPr>
            </w:pPr>
            <w:r>
              <w:rPr>
                <w:color w:val="000000"/>
                <w:lang w:eastAsia="sl-SI"/>
              </w:rPr>
              <w:t>-</w:t>
            </w:r>
          </w:p>
        </w:tc>
        <w:tc>
          <w:tcPr>
            <w:tcW w:w="1660" w:type="dxa"/>
            <w:tcBorders>
              <w:top w:val="nil"/>
              <w:left w:val="nil"/>
              <w:bottom w:val="single" w:sz="4" w:space="0" w:color="auto"/>
              <w:right w:val="single" w:sz="4" w:space="0" w:color="auto"/>
            </w:tcBorders>
            <w:noWrap/>
            <w:vAlign w:val="center"/>
          </w:tcPr>
          <w:p w:rsidR="00087CF4" w:rsidRDefault="00087CF4" w:rsidP="006364B6">
            <w:pPr>
              <w:spacing w:after="0" w:line="240" w:lineRule="auto"/>
              <w:jc w:val="center"/>
              <w:rPr>
                <w:color w:val="000000"/>
                <w:lang w:eastAsia="sl-SI"/>
              </w:rPr>
            </w:pPr>
            <w:r>
              <w:rPr>
                <w:color w:val="000000"/>
                <w:lang w:eastAsia="sl-SI"/>
              </w:rPr>
              <w:t>-</w:t>
            </w:r>
          </w:p>
          <w:p w:rsidR="00087CF4" w:rsidRPr="006364B6" w:rsidRDefault="00087CF4" w:rsidP="006364B6">
            <w:pPr>
              <w:spacing w:after="0" w:line="240" w:lineRule="auto"/>
              <w:jc w:val="center"/>
              <w:rPr>
                <w:color w:val="000000"/>
                <w:lang w:eastAsia="sl-SI"/>
              </w:rPr>
            </w:pPr>
          </w:p>
        </w:tc>
        <w:tc>
          <w:tcPr>
            <w:tcW w:w="1480" w:type="dxa"/>
            <w:tcBorders>
              <w:top w:val="nil"/>
              <w:left w:val="nil"/>
              <w:bottom w:val="single" w:sz="4" w:space="0" w:color="auto"/>
              <w:right w:val="single" w:sz="4" w:space="0" w:color="auto"/>
            </w:tcBorders>
            <w:noWrap/>
            <w:vAlign w:val="center"/>
          </w:tcPr>
          <w:p w:rsidR="00087CF4" w:rsidRPr="006364B6" w:rsidRDefault="00087CF4" w:rsidP="00341F25">
            <w:pPr>
              <w:spacing w:after="0" w:line="240" w:lineRule="auto"/>
              <w:rPr>
                <w:color w:val="000000"/>
                <w:lang w:eastAsia="sl-SI"/>
              </w:rPr>
            </w:pPr>
          </w:p>
        </w:tc>
      </w:tr>
      <w:tr w:rsidR="00087CF4" w:rsidRPr="002A2B2C" w:rsidTr="006364B6">
        <w:trPr>
          <w:trHeight w:val="900"/>
        </w:trPr>
        <w:tc>
          <w:tcPr>
            <w:tcW w:w="3280" w:type="dxa"/>
            <w:tcBorders>
              <w:top w:val="nil"/>
              <w:left w:val="single" w:sz="4" w:space="0" w:color="auto"/>
              <w:bottom w:val="single" w:sz="4" w:space="0" w:color="auto"/>
              <w:right w:val="single" w:sz="4" w:space="0" w:color="auto"/>
            </w:tcBorders>
            <w:vAlign w:val="center"/>
          </w:tcPr>
          <w:p w:rsidR="00087CF4" w:rsidRPr="006364B6" w:rsidRDefault="00087CF4" w:rsidP="006364B6">
            <w:pPr>
              <w:spacing w:after="0" w:line="240" w:lineRule="auto"/>
              <w:jc w:val="left"/>
              <w:rPr>
                <w:color w:val="000000"/>
                <w:lang w:eastAsia="sl-SI"/>
              </w:rPr>
            </w:pPr>
            <w:r w:rsidRPr="006364B6">
              <w:rPr>
                <w:color w:val="000000"/>
                <w:lang w:eastAsia="sl-SI"/>
              </w:rPr>
              <w:t>Drugi poslovni odhodki</w:t>
            </w:r>
          </w:p>
        </w:tc>
        <w:tc>
          <w:tcPr>
            <w:tcW w:w="1960" w:type="dxa"/>
            <w:tcBorders>
              <w:top w:val="nil"/>
              <w:left w:val="nil"/>
              <w:bottom w:val="single" w:sz="4" w:space="0" w:color="auto"/>
              <w:right w:val="single" w:sz="4" w:space="0" w:color="auto"/>
            </w:tcBorders>
            <w:noWrap/>
            <w:vAlign w:val="center"/>
          </w:tcPr>
          <w:p w:rsidR="00087CF4" w:rsidRPr="006364B6" w:rsidRDefault="00087CF4" w:rsidP="006364B6">
            <w:pPr>
              <w:spacing w:after="0" w:line="240" w:lineRule="auto"/>
              <w:jc w:val="center"/>
              <w:rPr>
                <w:color w:val="000000"/>
                <w:lang w:eastAsia="sl-SI"/>
              </w:rPr>
            </w:pPr>
            <w:r w:rsidRPr="006364B6">
              <w:rPr>
                <w:color w:val="000000"/>
                <w:lang w:eastAsia="sl-SI"/>
              </w:rPr>
              <w:t>-</w:t>
            </w:r>
          </w:p>
        </w:tc>
        <w:tc>
          <w:tcPr>
            <w:tcW w:w="1660" w:type="dxa"/>
            <w:tcBorders>
              <w:top w:val="nil"/>
              <w:left w:val="nil"/>
              <w:bottom w:val="single" w:sz="4" w:space="0" w:color="auto"/>
              <w:right w:val="single" w:sz="4" w:space="0" w:color="auto"/>
            </w:tcBorders>
            <w:noWrap/>
            <w:vAlign w:val="center"/>
          </w:tcPr>
          <w:p w:rsidR="00087CF4" w:rsidRPr="006364B6" w:rsidRDefault="00087CF4" w:rsidP="006364B6">
            <w:pPr>
              <w:spacing w:after="0" w:line="240" w:lineRule="auto"/>
              <w:jc w:val="center"/>
              <w:rPr>
                <w:color w:val="000000"/>
                <w:lang w:eastAsia="sl-SI"/>
              </w:rPr>
            </w:pPr>
            <w:r w:rsidRPr="006364B6">
              <w:rPr>
                <w:color w:val="000000"/>
                <w:lang w:eastAsia="sl-SI"/>
              </w:rPr>
              <w:t>-</w:t>
            </w:r>
          </w:p>
        </w:tc>
        <w:tc>
          <w:tcPr>
            <w:tcW w:w="1480" w:type="dxa"/>
            <w:tcBorders>
              <w:top w:val="nil"/>
              <w:left w:val="nil"/>
              <w:bottom w:val="single" w:sz="4" w:space="0" w:color="auto"/>
              <w:right w:val="single" w:sz="4" w:space="0" w:color="auto"/>
            </w:tcBorders>
            <w:noWrap/>
            <w:vAlign w:val="center"/>
          </w:tcPr>
          <w:p w:rsidR="00087CF4" w:rsidRPr="006364B6" w:rsidRDefault="00087CF4" w:rsidP="006364B6">
            <w:pPr>
              <w:spacing w:after="0" w:line="240" w:lineRule="auto"/>
              <w:jc w:val="center"/>
              <w:rPr>
                <w:color w:val="000000"/>
                <w:lang w:eastAsia="sl-SI"/>
              </w:rPr>
            </w:pPr>
            <w:r w:rsidRPr="006364B6">
              <w:rPr>
                <w:color w:val="000000"/>
                <w:lang w:eastAsia="sl-SI"/>
              </w:rPr>
              <w:t> </w:t>
            </w:r>
          </w:p>
        </w:tc>
      </w:tr>
      <w:tr w:rsidR="00087CF4" w:rsidRPr="002A2B2C" w:rsidTr="006364B6">
        <w:trPr>
          <w:trHeight w:val="900"/>
        </w:trPr>
        <w:tc>
          <w:tcPr>
            <w:tcW w:w="3280" w:type="dxa"/>
            <w:tcBorders>
              <w:top w:val="nil"/>
              <w:left w:val="single" w:sz="4" w:space="0" w:color="auto"/>
              <w:bottom w:val="single" w:sz="4" w:space="0" w:color="auto"/>
              <w:right w:val="single" w:sz="4" w:space="0" w:color="auto"/>
            </w:tcBorders>
            <w:vAlign w:val="center"/>
          </w:tcPr>
          <w:p w:rsidR="00087CF4" w:rsidRPr="006364B6" w:rsidRDefault="00087CF4" w:rsidP="006364B6">
            <w:pPr>
              <w:spacing w:after="0" w:line="240" w:lineRule="auto"/>
              <w:jc w:val="left"/>
              <w:rPr>
                <w:color w:val="000000"/>
                <w:lang w:eastAsia="sl-SI"/>
              </w:rPr>
            </w:pPr>
            <w:r w:rsidRPr="006364B6">
              <w:rPr>
                <w:color w:val="000000"/>
                <w:lang w:eastAsia="sl-SI"/>
              </w:rPr>
              <w:t>Donos iz 16.točke 2.člena uredbe</w:t>
            </w:r>
          </w:p>
        </w:tc>
        <w:tc>
          <w:tcPr>
            <w:tcW w:w="1960" w:type="dxa"/>
            <w:tcBorders>
              <w:top w:val="nil"/>
              <w:left w:val="nil"/>
              <w:bottom w:val="single" w:sz="4" w:space="0" w:color="auto"/>
              <w:right w:val="single" w:sz="4" w:space="0" w:color="auto"/>
            </w:tcBorders>
            <w:noWrap/>
            <w:vAlign w:val="center"/>
          </w:tcPr>
          <w:p w:rsidR="00087CF4" w:rsidRPr="006364B6" w:rsidRDefault="00087CF4" w:rsidP="006364B6">
            <w:pPr>
              <w:spacing w:after="0" w:line="240" w:lineRule="auto"/>
              <w:jc w:val="center"/>
              <w:rPr>
                <w:color w:val="000000"/>
                <w:lang w:eastAsia="sl-SI"/>
              </w:rPr>
            </w:pPr>
            <w:r w:rsidRPr="006364B6">
              <w:rPr>
                <w:color w:val="000000"/>
                <w:lang w:eastAsia="sl-SI"/>
              </w:rPr>
              <w:t>-</w:t>
            </w:r>
          </w:p>
        </w:tc>
        <w:tc>
          <w:tcPr>
            <w:tcW w:w="1660" w:type="dxa"/>
            <w:tcBorders>
              <w:top w:val="nil"/>
              <w:left w:val="nil"/>
              <w:bottom w:val="single" w:sz="4" w:space="0" w:color="auto"/>
              <w:right w:val="single" w:sz="4" w:space="0" w:color="auto"/>
            </w:tcBorders>
            <w:noWrap/>
            <w:vAlign w:val="center"/>
          </w:tcPr>
          <w:p w:rsidR="00087CF4" w:rsidRPr="006364B6" w:rsidRDefault="00087CF4" w:rsidP="006364B6">
            <w:pPr>
              <w:spacing w:after="0" w:line="240" w:lineRule="auto"/>
              <w:jc w:val="center"/>
              <w:rPr>
                <w:color w:val="000000"/>
                <w:lang w:eastAsia="sl-SI"/>
              </w:rPr>
            </w:pPr>
            <w:r w:rsidRPr="006364B6">
              <w:rPr>
                <w:color w:val="000000"/>
                <w:lang w:eastAsia="sl-SI"/>
              </w:rPr>
              <w:t>-</w:t>
            </w:r>
          </w:p>
        </w:tc>
        <w:tc>
          <w:tcPr>
            <w:tcW w:w="1480" w:type="dxa"/>
            <w:tcBorders>
              <w:top w:val="nil"/>
              <w:left w:val="nil"/>
              <w:bottom w:val="single" w:sz="4" w:space="0" w:color="auto"/>
              <w:right w:val="single" w:sz="4" w:space="0" w:color="auto"/>
            </w:tcBorders>
            <w:noWrap/>
            <w:vAlign w:val="center"/>
          </w:tcPr>
          <w:p w:rsidR="00087CF4" w:rsidRPr="006364B6" w:rsidRDefault="00087CF4" w:rsidP="006364B6">
            <w:pPr>
              <w:spacing w:after="0" w:line="240" w:lineRule="auto"/>
              <w:jc w:val="center"/>
              <w:rPr>
                <w:color w:val="000000"/>
                <w:lang w:eastAsia="sl-SI"/>
              </w:rPr>
            </w:pPr>
            <w:r w:rsidRPr="006364B6">
              <w:rPr>
                <w:color w:val="000000"/>
                <w:lang w:eastAsia="sl-SI"/>
              </w:rPr>
              <w:t> </w:t>
            </w:r>
          </w:p>
        </w:tc>
      </w:tr>
      <w:tr w:rsidR="00087CF4" w:rsidRPr="002A2B2C" w:rsidTr="00AA7624">
        <w:trPr>
          <w:trHeight w:val="300"/>
        </w:trPr>
        <w:tc>
          <w:tcPr>
            <w:tcW w:w="3280" w:type="dxa"/>
            <w:tcBorders>
              <w:top w:val="nil"/>
              <w:left w:val="single" w:sz="4" w:space="0" w:color="auto"/>
              <w:bottom w:val="single" w:sz="4" w:space="0" w:color="auto"/>
              <w:right w:val="single" w:sz="4" w:space="0" w:color="auto"/>
            </w:tcBorders>
            <w:vAlign w:val="center"/>
          </w:tcPr>
          <w:p w:rsidR="00087CF4" w:rsidRPr="006364B6" w:rsidRDefault="00087CF4" w:rsidP="006364B6">
            <w:pPr>
              <w:spacing w:after="0" w:line="240" w:lineRule="auto"/>
              <w:jc w:val="left"/>
              <w:rPr>
                <w:b/>
                <w:bCs/>
                <w:color w:val="000000"/>
                <w:lang w:eastAsia="sl-SI"/>
              </w:rPr>
            </w:pPr>
            <w:r>
              <w:rPr>
                <w:b/>
                <w:bCs/>
                <w:color w:val="000000"/>
                <w:lang w:eastAsia="sl-SI"/>
              </w:rPr>
              <w:t>Skupaj stroški odvajanja</w:t>
            </w:r>
          </w:p>
        </w:tc>
        <w:tc>
          <w:tcPr>
            <w:tcW w:w="1960" w:type="dxa"/>
            <w:tcBorders>
              <w:top w:val="nil"/>
              <w:left w:val="nil"/>
              <w:bottom w:val="single" w:sz="4" w:space="0" w:color="auto"/>
              <w:right w:val="single" w:sz="4" w:space="0" w:color="auto"/>
            </w:tcBorders>
            <w:noWrap/>
            <w:vAlign w:val="bottom"/>
          </w:tcPr>
          <w:p w:rsidR="00087CF4" w:rsidRPr="006364B6" w:rsidRDefault="00087CF4" w:rsidP="006364B6">
            <w:pPr>
              <w:spacing w:after="0" w:line="240" w:lineRule="auto"/>
              <w:jc w:val="center"/>
              <w:rPr>
                <w:color w:val="000000"/>
                <w:lang w:eastAsia="sl-SI"/>
              </w:rPr>
            </w:pPr>
            <w:r>
              <w:rPr>
                <w:b/>
                <w:bCs/>
                <w:color w:val="000000"/>
                <w:lang w:eastAsia="sl-SI"/>
              </w:rPr>
              <w:t>46.110,07</w:t>
            </w:r>
          </w:p>
        </w:tc>
        <w:tc>
          <w:tcPr>
            <w:tcW w:w="1660" w:type="dxa"/>
            <w:tcBorders>
              <w:top w:val="nil"/>
              <w:left w:val="nil"/>
              <w:bottom w:val="single" w:sz="4" w:space="0" w:color="auto"/>
              <w:right w:val="single" w:sz="4" w:space="0" w:color="auto"/>
            </w:tcBorders>
            <w:noWrap/>
            <w:vAlign w:val="bottom"/>
          </w:tcPr>
          <w:p w:rsidR="00087CF4" w:rsidRPr="006364B6" w:rsidRDefault="00087CF4" w:rsidP="006364B6">
            <w:pPr>
              <w:spacing w:after="0" w:line="240" w:lineRule="auto"/>
              <w:jc w:val="center"/>
              <w:rPr>
                <w:color w:val="000000"/>
                <w:lang w:eastAsia="sl-SI"/>
              </w:rPr>
            </w:pPr>
            <w:r>
              <w:rPr>
                <w:b/>
                <w:bCs/>
                <w:color w:val="000000"/>
                <w:lang w:eastAsia="sl-SI"/>
              </w:rPr>
              <w:t>46.847,09</w:t>
            </w:r>
          </w:p>
        </w:tc>
        <w:tc>
          <w:tcPr>
            <w:tcW w:w="1480" w:type="dxa"/>
            <w:tcBorders>
              <w:top w:val="nil"/>
              <w:left w:val="nil"/>
              <w:bottom w:val="single" w:sz="4" w:space="0" w:color="auto"/>
              <w:right w:val="single" w:sz="4" w:space="0" w:color="auto"/>
            </w:tcBorders>
            <w:noWrap/>
            <w:vAlign w:val="bottom"/>
          </w:tcPr>
          <w:p w:rsidR="00087CF4" w:rsidRPr="006364B6" w:rsidRDefault="00087CF4" w:rsidP="006364B6">
            <w:pPr>
              <w:spacing w:after="0" w:line="240" w:lineRule="auto"/>
              <w:jc w:val="center"/>
              <w:rPr>
                <w:color w:val="000000"/>
                <w:lang w:eastAsia="sl-SI"/>
              </w:rPr>
            </w:pPr>
            <w:r>
              <w:rPr>
                <w:color w:val="000000"/>
                <w:lang w:eastAsia="sl-SI"/>
              </w:rPr>
              <w:t>0,98</w:t>
            </w:r>
          </w:p>
        </w:tc>
      </w:tr>
      <w:tr w:rsidR="00087CF4" w:rsidRPr="002A2B2C" w:rsidTr="00AA7624">
        <w:trPr>
          <w:trHeight w:val="600"/>
        </w:trPr>
        <w:tc>
          <w:tcPr>
            <w:tcW w:w="3280" w:type="dxa"/>
            <w:tcBorders>
              <w:top w:val="nil"/>
              <w:left w:val="single" w:sz="4" w:space="0" w:color="auto"/>
              <w:bottom w:val="nil"/>
              <w:right w:val="single" w:sz="4" w:space="0" w:color="auto"/>
            </w:tcBorders>
            <w:shd w:val="clear" w:color="000000" w:fill="4F81BD"/>
            <w:vAlign w:val="center"/>
          </w:tcPr>
          <w:p w:rsidR="00087CF4" w:rsidRPr="006364B6" w:rsidRDefault="00087CF4" w:rsidP="00E34960">
            <w:pPr>
              <w:spacing w:after="0" w:line="240" w:lineRule="auto"/>
              <w:jc w:val="left"/>
              <w:rPr>
                <w:b/>
                <w:bCs/>
                <w:color w:val="000000"/>
                <w:lang w:eastAsia="sl-SI"/>
              </w:rPr>
            </w:pPr>
            <w:r w:rsidRPr="006364B6">
              <w:rPr>
                <w:b/>
                <w:bCs/>
                <w:color w:val="000000"/>
                <w:lang w:eastAsia="sl-SI"/>
              </w:rPr>
              <w:t xml:space="preserve">SKUPAJ STROŠKI OMREŽNINE IN </w:t>
            </w:r>
            <w:r>
              <w:rPr>
                <w:b/>
                <w:bCs/>
                <w:color w:val="000000"/>
                <w:lang w:eastAsia="sl-SI"/>
              </w:rPr>
              <w:t>ODVAJANJA ODPADNE VODE</w:t>
            </w:r>
            <w:r w:rsidRPr="006364B6">
              <w:rPr>
                <w:b/>
                <w:bCs/>
                <w:color w:val="000000"/>
                <w:lang w:eastAsia="sl-SI"/>
              </w:rPr>
              <w:t xml:space="preserve"> (A+B)</w:t>
            </w:r>
          </w:p>
        </w:tc>
        <w:tc>
          <w:tcPr>
            <w:tcW w:w="1960" w:type="dxa"/>
            <w:tcBorders>
              <w:top w:val="nil"/>
              <w:left w:val="nil"/>
              <w:bottom w:val="nil"/>
              <w:right w:val="single" w:sz="4" w:space="0" w:color="auto"/>
            </w:tcBorders>
            <w:shd w:val="clear" w:color="000000" w:fill="4F81BD"/>
            <w:noWrap/>
            <w:vAlign w:val="bottom"/>
          </w:tcPr>
          <w:p w:rsidR="00087CF4" w:rsidRPr="006364B6" w:rsidRDefault="00087CF4" w:rsidP="006364B6">
            <w:pPr>
              <w:spacing w:after="0" w:line="240" w:lineRule="auto"/>
              <w:jc w:val="center"/>
              <w:rPr>
                <w:b/>
                <w:bCs/>
                <w:color w:val="000000"/>
                <w:lang w:eastAsia="sl-SI"/>
              </w:rPr>
            </w:pPr>
            <w:r>
              <w:rPr>
                <w:b/>
                <w:bCs/>
                <w:color w:val="000000"/>
                <w:lang w:eastAsia="sl-SI"/>
              </w:rPr>
              <w:t>50.157,67</w:t>
            </w:r>
          </w:p>
        </w:tc>
        <w:tc>
          <w:tcPr>
            <w:tcW w:w="1660" w:type="dxa"/>
            <w:tcBorders>
              <w:top w:val="nil"/>
              <w:left w:val="nil"/>
              <w:bottom w:val="nil"/>
              <w:right w:val="single" w:sz="4" w:space="0" w:color="auto"/>
            </w:tcBorders>
            <w:shd w:val="clear" w:color="000000" w:fill="4F81BD"/>
            <w:noWrap/>
            <w:vAlign w:val="bottom"/>
          </w:tcPr>
          <w:p w:rsidR="00087CF4" w:rsidRPr="006364B6" w:rsidRDefault="00087CF4" w:rsidP="006364B6">
            <w:pPr>
              <w:spacing w:after="0" w:line="240" w:lineRule="auto"/>
              <w:jc w:val="center"/>
              <w:rPr>
                <w:b/>
                <w:bCs/>
                <w:color w:val="000000"/>
                <w:lang w:eastAsia="sl-SI"/>
              </w:rPr>
            </w:pPr>
            <w:r>
              <w:rPr>
                <w:b/>
                <w:bCs/>
                <w:color w:val="000000"/>
                <w:lang w:eastAsia="sl-SI"/>
              </w:rPr>
              <w:t>50.912,69</w:t>
            </w:r>
          </w:p>
        </w:tc>
        <w:tc>
          <w:tcPr>
            <w:tcW w:w="1480" w:type="dxa"/>
            <w:tcBorders>
              <w:top w:val="nil"/>
              <w:left w:val="nil"/>
              <w:bottom w:val="nil"/>
              <w:right w:val="single" w:sz="4" w:space="0" w:color="auto"/>
            </w:tcBorders>
            <w:shd w:val="clear" w:color="000000" w:fill="4F81BD"/>
            <w:noWrap/>
            <w:vAlign w:val="bottom"/>
          </w:tcPr>
          <w:p w:rsidR="00087CF4" w:rsidRPr="006364B6" w:rsidRDefault="00087CF4" w:rsidP="006364B6">
            <w:pPr>
              <w:spacing w:after="0" w:line="240" w:lineRule="auto"/>
              <w:jc w:val="center"/>
              <w:rPr>
                <w:b/>
                <w:bCs/>
                <w:color w:val="000000"/>
                <w:lang w:eastAsia="sl-SI"/>
              </w:rPr>
            </w:pPr>
            <w:r>
              <w:rPr>
                <w:b/>
                <w:bCs/>
                <w:color w:val="000000"/>
                <w:lang w:eastAsia="sl-SI"/>
              </w:rPr>
              <w:t>0,99</w:t>
            </w:r>
          </w:p>
        </w:tc>
      </w:tr>
      <w:tr w:rsidR="00087CF4" w:rsidRPr="002A2B2C" w:rsidTr="006364B6">
        <w:trPr>
          <w:trHeight w:val="600"/>
        </w:trPr>
        <w:tc>
          <w:tcPr>
            <w:tcW w:w="3280" w:type="dxa"/>
            <w:tcBorders>
              <w:top w:val="nil"/>
              <w:left w:val="single" w:sz="4" w:space="0" w:color="auto"/>
              <w:bottom w:val="single" w:sz="4" w:space="0" w:color="auto"/>
              <w:right w:val="single" w:sz="4" w:space="0" w:color="auto"/>
            </w:tcBorders>
            <w:shd w:val="clear" w:color="000000" w:fill="4F81BD"/>
            <w:vAlign w:val="center"/>
          </w:tcPr>
          <w:p w:rsidR="00087CF4" w:rsidRPr="006364B6" w:rsidRDefault="00087CF4" w:rsidP="006364B6">
            <w:pPr>
              <w:spacing w:after="0" w:line="240" w:lineRule="auto"/>
              <w:jc w:val="left"/>
              <w:rPr>
                <w:b/>
                <w:bCs/>
                <w:color w:val="000000"/>
                <w:lang w:eastAsia="sl-SI"/>
              </w:rPr>
            </w:pPr>
          </w:p>
        </w:tc>
        <w:tc>
          <w:tcPr>
            <w:tcW w:w="1960" w:type="dxa"/>
            <w:tcBorders>
              <w:top w:val="nil"/>
              <w:left w:val="nil"/>
              <w:bottom w:val="single" w:sz="4" w:space="0" w:color="auto"/>
              <w:right w:val="single" w:sz="4" w:space="0" w:color="auto"/>
            </w:tcBorders>
            <w:shd w:val="clear" w:color="000000" w:fill="4F81BD"/>
            <w:noWrap/>
            <w:vAlign w:val="bottom"/>
          </w:tcPr>
          <w:p w:rsidR="00087CF4" w:rsidRPr="006364B6" w:rsidRDefault="00087CF4" w:rsidP="006364B6">
            <w:pPr>
              <w:spacing w:after="0" w:line="240" w:lineRule="auto"/>
              <w:jc w:val="center"/>
              <w:rPr>
                <w:b/>
                <w:bCs/>
                <w:color w:val="000000"/>
                <w:lang w:eastAsia="sl-SI"/>
              </w:rPr>
            </w:pPr>
          </w:p>
        </w:tc>
        <w:tc>
          <w:tcPr>
            <w:tcW w:w="1660" w:type="dxa"/>
            <w:tcBorders>
              <w:top w:val="nil"/>
              <w:left w:val="nil"/>
              <w:bottom w:val="single" w:sz="4" w:space="0" w:color="auto"/>
              <w:right w:val="single" w:sz="4" w:space="0" w:color="auto"/>
            </w:tcBorders>
            <w:shd w:val="clear" w:color="000000" w:fill="4F81BD"/>
            <w:noWrap/>
            <w:vAlign w:val="bottom"/>
          </w:tcPr>
          <w:p w:rsidR="00087CF4" w:rsidRPr="006364B6" w:rsidRDefault="00087CF4" w:rsidP="006364B6">
            <w:pPr>
              <w:spacing w:after="0" w:line="240" w:lineRule="auto"/>
              <w:jc w:val="center"/>
              <w:rPr>
                <w:b/>
                <w:bCs/>
                <w:color w:val="000000"/>
                <w:lang w:eastAsia="sl-SI"/>
              </w:rPr>
            </w:pPr>
          </w:p>
        </w:tc>
        <w:tc>
          <w:tcPr>
            <w:tcW w:w="1480" w:type="dxa"/>
            <w:tcBorders>
              <w:top w:val="nil"/>
              <w:left w:val="nil"/>
              <w:bottom w:val="single" w:sz="4" w:space="0" w:color="auto"/>
              <w:right w:val="single" w:sz="4" w:space="0" w:color="auto"/>
            </w:tcBorders>
            <w:shd w:val="clear" w:color="000000" w:fill="4F81BD"/>
            <w:noWrap/>
            <w:vAlign w:val="bottom"/>
          </w:tcPr>
          <w:p w:rsidR="00087CF4" w:rsidRPr="006364B6" w:rsidRDefault="00087CF4" w:rsidP="006364B6">
            <w:pPr>
              <w:spacing w:after="0" w:line="240" w:lineRule="auto"/>
              <w:jc w:val="center"/>
              <w:rPr>
                <w:b/>
                <w:bCs/>
                <w:color w:val="000000"/>
                <w:lang w:eastAsia="sl-SI"/>
              </w:rPr>
            </w:pPr>
          </w:p>
        </w:tc>
      </w:tr>
    </w:tbl>
    <w:p w:rsidR="00087CF4" w:rsidRDefault="00087CF4" w:rsidP="00295557"/>
    <w:p w:rsidR="00087CF4" w:rsidRPr="00341F25" w:rsidRDefault="00087CF4" w:rsidP="00406422">
      <w:pPr>
        <w:pStyle w:val="Heading2"/>
        <w:rPr>
          <w:rFonts w:ascii="Calibri" w:hAnsi="Calibri"/>
        </w:rPr>
      </w:pPr>
      <w:r w:rsidRPr="00341F25">
        <w:rPr>
          <w:rFonts w:ascii="Calibri" w:hAnsi="Calibri"/>
        </w:rPr>
        <w:t xml:space="preserve"> </w:t>
      </w:r>
      <w:bookmarkStart w:id="15" w:name="_Toc416257824"/>
      <w:r w:rsidRPr="00341F25">
        <w:rPr>
          <w:rFonts w:ascii="Calibri" w:hAnsi="Calibri"/>
        </w:rPr>
        <w:t>Prihodke, ki jih izvajalec ustvari z opravljanjem posebnih storitev za preteklo in prihodnje obračunsko obdobje</w:t>
      </w:r>
      <w:bookmarkEnd w:id="15"/>
    </w:p>
    <w:p w:rsidR="00087CF4" w:rsidRDefault="00087CF4" w:rsidP="00295557">
      <w:r>
        <w:t xml:space="preserve">Izvajalec v letu 2015 ni opravljal in za leto 2016 ne načrtuje opravljati posebnih storitev, ki po Uredbi ne spadajo med javno službo odvajanja odpadne komunalne vode.   </w:t>
      </w:r>
    </w:p>
    <w:p w:rsidR="00087CF4" w:rsidRPr="00341F25" w:rsidRDefault="00087CF4" w:rsidP="00406422">
      <w:pPr>
        <w:pStyle w:val="Heading2"/>
        <w:rPr>
          <w:rFonts w:ascii="Calibri" w:hAnsi="Calibri"/>
        </w:rPr>
      </w:pPr>
      <w:r w:rsidRPr="00341F25">
        <w:rPr>
          <w:rFonts w:ascii="Calibri" w:hAnsi="Calibri"/>
        </w:rPr>
        <w:t xml:space="preserve"> </w:t>
      </w:r>
      <w:bookmarkStart w:id="16" w:name="_Toc416257825"/>
      <w:r w:rsidRPr="00341F25">
        <w:rPr>
          <w:rFonts w:ascii="Calibri" w:hAnsi="Calibri"/>
        </w:rPr>
        <w:t>Donos na vložena poslovno potrebna osnovna sredstva za preteklo in prihodnje obračunsko obdobje</w:t>
      </w:r>
      <w:bookmarkEnd w:id="16"/>
    </w:p>
    <w:p w:rsidR="00087CF4" w:rsidRDefault="00087CF4" w:rsidP="00295557">
      <w:r>
        <w:t>D</w:t>
      </w:r>
      <w:r w:rsidRPr="00EE0269">
        <w:t xml:space="preserve">onos na vložena poslovno potrebna osnovna sredstva </w:t>
      </w:r>
      <w:r>
        <w:t xml:space="preserve">za leto 2015 in 2016 znaša 0%. </w:t>
      </w:r>
    </w:p>
    <w:p w:rsidR="00087CF4" w:rsidRPr="00406422" w:rsidRDefault="00087CF4" w:rsidP="00406422">
      <w:pPr>
        <w:pStyle w:val="Heading2"/>
      </w:pPr>
      <w:r>
        <w:t xml:space="preserve"> </w:t>
      </w:r>
      <w:bookmarkStart w:id="17" w:name="_Toc416257826"/>
      <w:r>
        <w:t>Š</w:t>
      </w:r>
      <w:r w:rsidRPr="00EE0269">
        <w:t>tevilo zaposlenih za izvajanje storitev posamezne javne službe za preteklo in prihodnje obračunsko obdobje</w:t>
      </w:r>
      <w:bookmarkEnd w:id="17"/>
    </w:p>
    <w:p w:rsidR="00087CF4" w:rsidRDefault="00087CF4" w:rsidP="00295557">
      <w:r>
        <w:t xml:space="preserve">Število zaposlenih za izvajanje storitev javne službe v okviru režijskega obrata za preteklo in prihodnje obračunsko obdobje je podano v preglednici 4. </w:t>
      </w:r>
    </w:p>
    <w:p w:rsidR="00087CF4" w:rsidRDefault="00087CF4" w:rsidP="00295557">
      <w:r>
        <w:t>Vsa vzdrževalna dela na kanalizacijskem sistemu se izvajajo z zaposlenimi in najemi storitev.</w:t>
      </w:r>
    </w:p>
    <w:p w:rsidR="00087CF4" w:rsidRDefault="00087CF4" w:rsidP="00AB0187">
      <w:pPr>
        <w:pStyle w:val="Caption"/>
        <w:keepNext/>
      </w:pPr>
      <w:r>
        <w:t xml:space="preserve">Preglednica </w:t>
      </w:r>
      <w:fldSimple w:instr=" SEQ Preglednica \* ARABIC ">
        <w:r>
          <w:rPr>
            <w:noProof/>
          </w:rPr>
          <w:t>4</w:t>
        </w:r>
      </w:fldSimple>
      <w:r>
        <w:rPr>
          <w:noProof/>
        </w:rPr>
        <w:t>:</w:t>
      </w:r>
      <w:r>
        <w:t xml:space="preserve"> </w:t>
      </w:r>
      <w:r w:rsidRPr="00AB0187">
        <w:t>Število zaposlenih za izvajanje storitev javne službe</w:t>
      </w:r>
    </w:p>
    <w:p w:rsidR="00087CF4" w:rsidRPr="00805B41" w:rsidRDefault="00087CF4" w:rsidP="00805B41">
      <w:pPr>
        <w:jc w:val="left"/>
      </w:pPr>
      <w:r>
        <w:t>V letu 2016</w:t>
      </w:r>
      <w:r w:rsidRPr="00805B41">
        <w:t xml:space="preserve"> je bilo na dejavnosti </w:t>
      </w:r>
      <w:r>
        <w:t>čiščenja odpadne vode</w:t>
      </w:r>
      <w:r w:rsidRPr="00805B41">
        <w:t xml:space="preserve"> zaposlenih:</w:t>
      </w:r>
    </w:p>
    <w:p w:rsidR="00087CF4" w:rsidRPr="00805B41" w:rsidRDefault="00087CF4" w:rsidP="00805B41">
      <w:pPr>
        <w:jc w:val="left"/>
      </w:pPr>
    </w:p>
    <w:tbl>
      <w:tblPr>
        <w:tblW w:w="7756" w:type="dxa"/>
        <w:tblInd w:w="708" w:type="dxa"/>
        <w:tblCellMar>
          <w:left w:w="70" w:type="dxa"/>
          <w:right w:w="70" w:type="dxa"/>
        </w:tblCellMar>
        <w:tblLook w:val="00A0"/>
      </w:tblPr>
      <w:tblGrid>
        <w:gridCol w:w="2556"/>
        <w:gridCol w:w="1480"/>
        <w:gridCol w:w="1240"/>
        <w:gridCol w:w="1240"/>
        <w:gridCol w:w="1240"/>
      </w:tblGrid>
      <w:tr w:rsidR="00087CF4" w:rsidRPr="002A2B2C" w:rsidTr="002C79B8">
        <w:trPr>
          <w:trHeight w:val="350"/>
        </w:trPr>
        <w:tc>
          <w:tcPr>
            <w:tcW w:w="2556" w:type="dxa"/>
            <w:tcBorders>
              <w:top w:val="double" w:sz="4" w:space="0" w:color="auto"/>
              <w:left w:val="dotted" w:sz="4" w:space="0" w:color="auto"/>
              <w:bottom w:val="dashSmallGap" w:sz="4" w:space="0" w:color="auto"/>
              <w:right w:val="dotted" w:sz="4" w:space="0" w:color="auto"/>
            </w:tcBorders>
            <w:noWrap/>
            <w:vAlign w:val="bottom"/>
          </w:tcPr>
          <w:p w:rsidR="00087CF4" w:rsidRPr="002A2B2C" w:rsidRDefault="00087CF4" w:rsidP="00805B41">
            <w:pPr>
              <w:spacing w:after="0" w:line="240" w:lineRule="auto"/>
              <w:jc w:val="left"/>
              <w:rPr>
                <w:b/>
                <w:bCs/>
                <w:color w:val="000000"/>
                <w:sz w:val="20"/>
                <w:szCs w:val="20"/>
                <w:lang w:eastAsia="sl-SI"/>
              </w:rPr>
            </w:pPr>
            <w:r w:rsidRPr="002A2B2C">
              <w:rPr>
                <w:b/>
                <w:bCs/>
                <w:color w:val="000000"/>
                <w:sz w:val="20"/>
                <w:szCs w:val="20"/>
                <w:lang w:eastAsia="sl-SI"/>
              </w:rPr>
              <w:t>Dejavnost</w:t>
            </w:r>
          </w:p>
        </w:tc>
        <w:tc>
          <w:tcPr>
            <w:tcW w:w="1480" w:type="dxa"/>
            <w:tcBorders>
              <w:top w:val="double" w:sz="4" w:space="0" w:color="auto"/>
              <w:left w:val="dotted" w:sz="4" w:space="0" w:color="auto"/>
              <w:bottom w:val="dashSmallGap" w:sz="4" w:space="0" w:color="auto"/>
              <w:right w:val="dotted" w:sz="4" w:space="0" w:color="auto"/>
            </w:tcBorders>
            <w:noWrap/>
            <w:vAlign w:val="bottom"/>
          </w:tcPr>
          <w:p w:rsidR="00087CF4" w:rsidRPr="002A2B2C" w:rsidRDefault="00087CF4" w:rsidP="00805B41">
            <w:pPr>
              <w:spacing w:after="0" w:line="240" w:lineRule="auto"/>
              <w:jc w:val="center"/>
              <w:rPr>
                <w:b/>
                <w:bCs/>
                <w:color w:val="000000"/>
                <w:sz w:val="20"/>
                <w:szCs w:val="20"/>
                <w:lang w:eastAsia="sl-SI"/>
              </w:rPr>
            </w:pPr>
            <w:r w:rsidRPr="002A2B2C">
              <w:rPr>
                <w:b/>
                <w:bCs/>
                <w:color w:val="000000"/>
                <w:sz w:val="20"/>
                <w:szCs w:val="20"/>
                <w:lang w:eastAsia="sl-SI"/>
              </w:rPr>
              <w:t>Neposredno zaposleni</w:t>
            </w:r>
          </w:p>
        </w:tc>
        <w:tc>
          <w:tcPr>
            <w:tcW w:w="1240" w:type="dxa"/>
            <w:tcBorders>
              <w:top w:val="double" w:sz="4" w:space="0" w:color="auto"/>
              <w:left w:val="dotted" w:sz="4" w:space="0" w:color="auto"/>
              <w:bottom w:val="dashSmallGap" w:sz="4" w:space="0" w:color="auto"/>
              <w:right w:val="dotted" w:sz="4" w:space="0" w:color="auto"/>
            </w:tcBorders>
            <w:noWrap/>
            <w:vAlign w:val="bottom"/>
          </w:tcPr>
          <w:p w:rsidR="00087CF4" w:rsidRPr="002A2B2C" w:rsidRDefault="00087CF4" w:rsidP="00805B41">
            <w:pPr>
              <w:spacing w:after="0" w:line="240" w:lineRule="auto"/>
              <w:jc w:val="center"/>
              <w:rPr>
                <w:b/>
                <w:color w:val="000000"/>
                <w:sz w:val="20"/>
                <w:szCs w:val="20"/>
                <w:lang w:eastAsia="sl-SI"/>
              </w:rPr>
            </w:pPr>
            <w:r w:rsidRPr="002A2B2C">
              <w:rPr>
                <w:b/>
                <w:color w:val="000000"/>
                <w:sz w:val="20"/>
                <w:szCs w:val="20"/>
                <w:lang w:eastAsia="sl-SI"/>
              </w:rPr>
              <w:t>Posredno zaposleni</w:t>
            </w:r>
          </w:p>
        </w:tc>
        <w:tc>
          <w:tcPr>
            <w:tcW w:w="1240" w:type="dxa"/>
            <w:tcBorders>
              <w:top w:val="double" w:sz="4" w:space="0" w:color="auto"/>
              <w:left w:val="dotted" w:sz="4" w:space="0" w:color="auto"/>
              <w:bottom w:val="dashSmallGap" w:sz="4" w:space="0" w:color="auto"/>
              <w:right w:val="dotted" w:sz="4" w:space="0" w:color="auto"/>
            </w:tcBorders>
            <w:vAlign w:val="center"/>
          </w:tcPr>
          <w:p w:rsidR="00087CF4" w:rsidRPr="002A2B2C" w:rsidRDefault="00087CF4" w:rsidP="00805B41">
            <w:pPr>
              <w:spacing w:after="0" w:line="240" w:lineRule="auto"/>
              <w:jc w:val="center"/>
              <w:rPr>
                <w:b/>
                <w:color w:val="000000"/>
                <w:sz w:val="20"/>
                <w:szCs w:val="20"/>
                <w:lang w:eastAsia="sl-SI"/>
              </w:rPr>
            </w:pPr>
            <w:r w:rsidRPr="002A2B2C">
              <w:rPr>
                <w:b/>
                <w:color w:val="000000"/>
                <w:sz w:val="20"/>
                <w:szCs w:val="20"/>
                <w:lang w:eastAsia="sl-SI"/>
              </w:rPr>
              <w:t>Javna dela</w:t>
            </w:r>
          </w:p>
        </w:tc>
        <w:tc>
          <w:tcPr>
            <w:tcW w:w="1240" w:type="dxa"/>
            <w:tcBorders>
              <w:top w:val="double" w:sz="4" w:space="0" w:color="auto"/>
              <w:left w:val="dotted" w:sz="4" w:space="0" w:color="auto"/>
              <w:bottom w:val="dashSmallGap" w:sz="4" w:space="0" w:color="auto"/>
              <w:right w:val="dotted" w:sz="4" w:space="0" w:color="auto"/>
            </w:tcBorders>
            <w:vAlign w:val="center"/>
          </w:tcPr>
          <w:p w:rsidR="00087CF4" w:rsidRPr="002A2B2C" w:rsidRDefault="00087CF4" w:rsidP="00805B41">
            <w:pPr>
              <w:spacing w:after="0" w:line="240" w:lineRule="auto"/>
              <w:jc w:val="center"/>
              <w:rPr>
                <w:b/>
                <w:color w:val="000000"/>
                <w:sz w:val="20"/>
                <w:szCs w:val="20"/>
                <w:lang w:eastAsia="sl-SI"/>
              </w:rPr>
            </w:pPr>
            <w:r w:rsidRPr="002A2B2C">
              <w:rPr>
                <w:b/>
                <w:color w:val="000000"/>
                <w:sz w:val="20"/>
                <w:szCs w:val="20"/>
                <w:lang w:eastAsia="sl-SI"/>
              </w:rPr>
              <w:t>Skupaj</w:t>
            </w:r>
          </w:p>
        </w:tc>
      </w:tr>
      <w:tr w:rsidR="00087CF4" w:rsidRPr="002A2B2C" w:rsidTr="002C79B8">
        <w:trPr>
          <w:trHeight w:val="300"/>
        </w:trPr>
        <w:tc>
          <w:tcPr>
            <w:tcW w:w="2556" w:type="dxa"/>
            <w:tcBorders>
              <w:top w:val="dashSmallGap" w:sz="4" w:space="0" w:color="auto"/>
              <w:left w:val="dotted" w:sz="4" w:space="0" w:color="auto"/>
              <w:bottom w:val="dashSmallGap" w:sz="4" w:space="0" w:color="auto"/>
              <w:right w:val="dotted" w:sz="4" w:space="0" w:color="auto"/>
            </w:tcBorders>
            <w:noWrap/>
            <w:vAlign w:val="bottom"/>
          </w:tcPr>
          <w:p w:rsidR="00087CF4" w:rsidRPr="002A2B2C" w:rsidRDefault="00087CF4" w:rsidP="00805B41">
            <w:pPr>
              <w:spacing w:after="0" w:line="240" w:lineRule="auto"/>
              <w:jc w:val="left"/>
              <w:rPr>
                <w:color w:val="000000"/>
                <w:lang w:eastAsia="sl-SI"/>
              </w:rPr>
            </w:pPr>
            <w:r w:rsidRPr="002A2B2C">
              <w:rPr>
                <w:color w:val="000000"/>
                <w:lang w:eastAsia="sl-SI"/>
              </w:rPr>
              <w:t> </w:t>
            </w:r>
          </w:p>
        </w:tc>
        <w:tc>
          <w:tcPr>
            <w:tcW w:w="1480" w:type="dxa"/>
            <w:tcBorders>
              <w:top w:val="dashSmallGap" w:sz="4" w:space="0" w:color="auto"/>
              <w:left w:val="dotted" w:sz="4" w:space="0" w:color="auto"/>
              <w:bottom w:val="dashSmallGap" w:sz="4" w:space="0" w:color="auto"/>
              <w:right w:val="dotted" w:sz="4" w:space="0" w:color="auto"/>
            </w:tcBorders>
            <w:noWrap/>
            <w:vAlign w:val="bottom"/>
          </w:tcPr>
          <w:p w:rsidR="00087CF4" w:rsidRPr="002A2B2C" w:rsidRDefault="00087CF4" w:rsidP="00805B41">
            <w:pPr>
              <w:spacing w:after="0" w:line="240" w:lineRule="auto"/>
              <w:jc w:val="left"/>
              <w:rPr>
                <w:color w:val="000000"/>
                <w:lang w:eastAsia="sl-SI"/>
              </w:rPr>
            </w:pPr>
            <w:r w:rsidRPr="002A2B2C">
              <w:rPr>
                <w:color w:val="000000"/>
                <w:lang w:eastAsia="sl-SI"/>
              </w:rPr>
              <w:t> </w:t>
            </w:r>
          </w:p>
        </w:tc>
        <w:tc>
          <w:tcPr>
            <w:tcW w:w="1240" w:type="dxa"/>
            <w:tcBorders>
              <w:top w:val="dashSmallGap" w:sz="4" w:space="0" w:color="auto"/>
              <w:left w:val="dotted" w:sz="4" w:space="0" w:color="auto"/>
              <w:bottom w:val="dashSmallGap" w:sz="4" w:space="0" w:color="auto"/>
              <w:right w:val="dotted" w:sz="4" w:space="0" w:color="auto"/>
            </w:tcBorders>
            <w:noWrap/>
            <w:vAlign w:val="bottom"/>
          </w:tcPr>
          <w:p w:rsidR="00087CF4" w:rsidRPr="002A2B2C" w:rsidRDefault="00087CF4" w:rsidP="00805B41">
            <w:pPr>
              <w:spacing w:after="0" w:line="240" w:lineRule="auto"/>
              <w:jc w:val="left"/>
              <w:rPr>
                <w:color w:val="000000"/>
                <w:lang w:eastAsia="sl-SI"/>
              </w:rPr>
            </w:pPr>
            <w:r w:rsidRPr="002A2B2C">
              <w:rPr>
                <w:color w:val="000000"/>
                <w:lang w:eastAsia="sl-SI"/>
              </w:rPr>
              <w:t> </w:t>
            </w:r>
          </w:p>
        </w:tc>
        <w:tc>
          <w:tcPr>
            <w:tcW w:w="1240" w:type="dxa"/>
            <w:tcBorders>
              <w:top w:val="dashSmallGap" w:sz="4" w:space="0" w:color="auto"/>
              <w:left w:val="dotted" w:sz="4" w:space="0" w:color="auto"/>
              <w:bottom w:val="dashSmallGap" w:sz="4" w:space="0" w:color="auto"/>
              <w:right w:val="dotted" w:sz="4" w:space="0" w:color="auto"/>
            </w:tcBorders>
          </w:tcPr>
          <w:p w:rsidR="00087CF4" w:rsidRPr="002A2B2C" w:rsidRDefault="00087CF4" w:rsidP="00805B41">
            <w:pPr>
              <w:spacing w:after="0" w:line="240" w:lineRule="auto"/>
              <w:jc w:val="left"/>
              <w:rPr>
                <w:color w:val="000000"/>
                <w:lang w:eastAsia="sl-SI"/>
              </w:rPr>
            </w:pPr>
          </w:p>
        </w:tc>
        <w:tc>
          <w:tcPr>
            <w:tcW w:w="1240" w:type="dxa"/>
            <w:tcBorders>
              <w:top w:val="dashSmallGap" w:sz="4" w:space="0" w:color="auto"/>
              <w:left w:val="dotted" w:sz="4" w:space="0" w:color="auto"/>
              <w:bottom w:val="dashSmallGap" w:sz="4" w:space="0" w:color="auto"/>
              <w:right w:val="dotted" w:sz="4" w:space="0" w:color="auto"/>
            </w:tcBorders>
          </w:tcPr>
          <w:p w:rsidR="00087CF4" w:rsidRPr="002A2B2C" w:rsidRDefault="00087CF4" w:rsidP="00805B41">
            <w:pPr>
              <w:spacing w:after="0" w:line="240" w:lineRule="auto"/>
              <w:jc w:val="left"/>
              <w:rPr>
                <w:color w:val="000000"/>
                <w:lang w:eastAsia="sl-SI"/>
              </w:rPr>
            </w:pPr>
          </w:p>
        </w:tc>
      </w:tr>
      <w:tr w:rsidR="00087CF4" w:rsidRPr="002A2B2C" w:rsidTr="002C79B8">
        <w:trPr>
          <w:trHeight w:val="300"/>
        </w:trPr>
        <w:tc>
          <w:tcPr>
            <w:tcW w:w="2556" w:type="dxa"/>
            <w:tcBorders>
              <w:top w:val="dashSmallGap" w:sz="4" w:space="0" w:color="auto"/>
              <w:left w:val="dotted" w:sz="4" w:space="0" w:color="auto"/>
              <w:bottom w:val="dashSmallGap" w:sz="4" w:space="0" w:color="auto"/>
              <w:right w:val="dotted" w:sz="4" w:space="0" w:color="auto"/>
            </w:tcBorders>
            <w:noWrap/>
            <w:vAlign w:val="center"/>
          </w:tcPr>
          <w:p w:rsidR="00087CF4" w:rsidRPr="002A2B2C" w:rsidRDefault="00087CF4" w:rsidP="00805B41">
            <w:pPr>
              <w:spacing w:after="0" w:line="240" w:lineRule="auto"/>
              <w:jc w:val="left"/>
              <w:rPr>
                <w:color w:val="000000"/>
                <w:sz w:val="20"/>
                <w:szCs w:val="20"/>
                <w:lang w:eastAsia="sl-SI"/>
              </w:rPr>
            </w:pPr>
            <w:r w:rsidRPr="002A2B2C">
              <w:rPr>
                <w:color w:val="000000"/>
                <w:sz w:val="20"/>
                <w:szCs w:val="20"/>
                <w:lang w:eastAsia="sl-SI"/>
              </w:rPr>
              <w:t>Odvodnjavanje odpadne vode</w:t>
            </w:r>
          </w:p>
        </w:tc>
        <w:tc>
          <w:tcPr>
            <w:tcW w:w="1480" w:type="dxa"/>
            <w:tcBorders>
              <w:top w:val="dashSmallGap" w:sz="4" w:space="0" w:color="auto"/>
              <w:left w:val="dotted" w:sz="4" w:space="0" w:color="auto"/>
              <w:bottom w:val="dashSmallGap" w:sz="4" w:space="0" w:color="auto"/>
              <w:right w:val="dotted" w:sz="4" w:space="0" w:color="auto"/>
            </w:tcBorders>
            <w:noWrap/>
            <w:vAlign w:val="center"/>
          </w:tcPr>
          <w:p w:rsidR="00087CF4" w:rsidRPr="002A2B2C" w:rsidRDefault="00087CF4" w:rsidP="00805B41">
            <w:pPr>
              <w:spacing w:after="0" w:line="240" w:lineRule="auto"/>
              <w:jc w:val="center"/>
              <w:rPr>
                <w:color w:val="000000"/>
                <w:lang w:eastAsia="sl-SI"/>
              </w:rPr>
            </w:pPr>
            <w:r w:rsidRPr="002A2B2C">
              <w:rPr>
                <w:color w:val="000000"/>
                <w:lang w:eastAsia="sl-SI"/>
              </w:rPr>
              <w:t>-</w:t>
            </w:r>
          </w:p>
        </w:tc>
        <w:tc>
          <w:tcPr>
            <w:tcW w:w="1240" w:type="dxa"/>
            <w:tcBorders>
              <w:top w:val="dashSmallGap" w:sz="4" w:space="0" w:color="auto"/>
              <w:left w:val="dotted" w:sz="4" w:space="0" w:color="auto"/>
              <w:bottom w:val="dashSmallGap" w:sz="4" w:space="0" w:color="auto"/>
              <w:right w:val="dotted" w:sz="4" w:space="0" w:color="auto"/>
            </w:tcBorders>
            <w:noWrap/>
            <w:vAlign w:val="center"/>
          </w:tcPr>
          <w:p w:rsidR="00087CF4" w:rsidRPr="002A2B2C" w:rsidRDefault="00087CF4" w:rsidP="00805B41">
            <w:pPr>
              <w:spacing w:after="0" w:line="240" w:lineRule="auto"/>
              <w:jc w:val="center"/>
              <w:rPr>
                <w:color w:val="000000"/>
                <w:lang w:eastAsia="sl-SI"/>
              </w:rPr>
            </w:pPr>
            <w:r w:rsidRPr="002A2B2C">
              <w:rPr>
                <w:color w:val="000000"/>
                <w:lang w:eastAsia="sl-SI"/>
              </w:rPr>
              <w:t>0,1</w:t>
            </w:r>
          </w:p>
        </w:tc>
        <w:tc>
          <w:tcPr>
            <w:tcW w:w="1240" w:type="dxa"/>
            <w:tcBorders>
              <w:top w:val="dashSmallGap" w:sz="4" w:space="0" w:color="auto"/>
              <w:left w:val="dotted" w:sz="4" w:space="0" w:color="auto"/>
              <w:bottom w:val="dashSmallGap" w:sz="4" w:space="0" w:color="auto"/>
              <w:right w:val="dotted" w:sz="4" w:space="0" w:color="auto"/>
            </w:tcBorders>
          </w:tcPr>
          <w:p w:rsidR="00087CF4" w:rsidRPr="002A2B2C" w:rsidRDefault="00087CF4" w:rsidP="00805B41">
            <w:pPr>
              <w:spacing w:after="0" w:line="240" w:lineRule="auto"/>
              <w:jc w:val="center"/>
              <w:rPr>
                <w:color w:val="000000"/>
                <w:lang w:eastAsia="sl-SI"/>
              </w:rPr>
            </w:pPr>
            <w:r w:rsidRPr="002A2B2C">
              <w:rPr>
                <w:color w:val="000000"/>
                <w:lang w:eastAsia="sl-SI"/>
              </w:rPr>
              <w:t>-</w:t>
            </w:r>
          </w:p>
        </w:tc>
        <w:tc>
          <w:tcPr>
            <w:tcW w:w="1240" w:type="dxa"/>
            <w:tcBorders>
              <w:top w:val="dashSmallGap" w:sz="4" w:space="0" w:color="auto"/>
              <w:left w:val="dotted" w:sz="4" w:space="0" w:color="auto"/>
              <w:bottom w:val="dashSmallGap" w:sz="4" w:space="0" w:color="auto"/>
              <w:right w:val="dotted" w:sz="4" w:space="0" w:color="auto"/>
            </w:tcBorders>
          </w:tcPr>
          <w:p w:rsidR="00087CF4" w:rsidRPr="002A2B2C" w:rsidRDefault="00087CF4" w:rsidP="00805B41">
            <w:pPr>
              <w:spacing w:after="0" w:line="240" w:lineRule="auto"/>
              <w:jc w:val="center"/>
              <w:rPr>
                <w:color w:val="000000"/>
                <w:lang w:eastAsia="sl-SI"/>
              </w:rPr>
            </w:pPr>
            <w:r w:rsidRPr="002A2B2C">
              <w:rPr>
                <w:color w:val="000000"/>
                <w:lang w:eastAsia="sl-SI"/>
              </w:rPr>
              <w:t>0,1</w:t>
            </w:r>
          </w:p>
        </w:tc>
      </w:tr>
      <w:tr w:rsidR="00087CF4" w:rsidRPr="002A2B2C" w:rsidTr="002C79B8">
        <w:trPr>
          <w:trHeight w:val="300"/>
        </w:trPr>
        <w:tc>
          <w:tcPr>
            <w:tcW w:w="2556" w:type="dxa"/>
            <w:tcBorders>
              <w:top w:val="dashSmallGap" w:sz="4" w:space="0" w:color="auto"/>
              <w:left w:val="dotted" w:sz="4" w:space="0" w:color="auto"/>
              <w:bottom w:val="double" w:sz="4" w:space="0" w:color="auto"/>
              <w:right w:val="dotted" w:sz="4" w:space="0" w:color="auto"/>
            </w:tcBorders>
            <w:noWrap/>
            <w:vAlign w:val="bottom"/>
          </w:tcPr>
          <w:p w:rsidR="00087CF4" w:rsidRPr="002A2B2C" w:rsidRDefault="00087CF4" w:rsidP="00805B41">
            <w:pPr>
              <w:spacing w:after="0" w:line="240" w:lineRule="auto"/>
              <w:jc w:val="left"/>
              <w:rPr>
                <w:b/>
                <w:bCs/>
                <w:color w:val="000000"/>
                <w:lang w:eastAsia="sl-SI"/>
              </w:rPr>
            </w:pPr>
          </w:p>
        </w:tc>
        <w:tc>
          <w:tcPr>
            <w:tcW w:w="1480" w:type="dxa"/>
            <w:tcBorders>
              <w:top w:val="dashSmallGap" w:sz="4" w:space="0" w:color="auto"/>
              <w:left w:val="dotted" w:sz="4" w:space="0" w:color="auto"/>
              <w:bottom w:val="double" w:sz="4" w:space="0" w:color="auto"/>
              <w:right w:val="dotted" w:sz="4" w:space="0" w:color="auto"/>
            </w:tcBorders>
            <w:noWrap/>
            <w:vAlign w:val="center"/>
          </w:tcPr>
          <w:p w:rsidR="00087CF4" w:rsidRPr="002A2B2C" w:rsidRDefault="00087CF4" w:rsidP="00805B41">
            <w:pPr>
              <w:spacing w:after="0" w:line="240" w:lineRule="auto"/>
              <w:jc w:val="right"/>
              <w:rPr>
                <w:b/>
                <w:bCs/>
                <w:color w:val="000000"/>
                <w:lang w:eastAsia="sl-SI"/>
              </w:rPr>
            </w:pPr>
          </w:p>
        </w:tc>
        <w:tc>
          <w:tcPr>
            <w:tcW w:w="1240" w:type="dxa"/>
            <w:tcBorders>
              <w:top w:val="dashSmallGap" w:sz="4" w:space="0" w:color="auto"/>
              <w:left w:val="dotted" w:sz="4" w:space="0" w:color="auto"/>
              <w:bottom w:val="double" w:sz="4" w:space="0" w:color="auto"/>
              <w:right w:val="dotted" w:sz="4" w:space="0" w:color="auto"/>
            </w:tcBorders>
            <w:noWrap/>
            <w:vAlign w:val="center"/>
          </w:tcPr>
          <w:p w:rsidR="00087CF4" w:rsidRPr="002A2B2C" w:rsidRDefault="00087CF4" w:rsidP="00805B41">
            <w:pPr>
              <w:spacing w:after="0" w:line="240" w:lineRule="auto"/>
              <w:jc w:val="right"/>
              <w:rPr>
                <w:color w:val="000000"/>
                <w:lang w:eastAsia="sl-SI"/>
              </w:rPr>
            </w:pPr>
          </w:p>
        </w:tc>
        <w:tc>
          <w:tcPr>
            <w:tcW w:w="1240" w:type="dxa"/>
            <w:tcBorders>
              <w:top w:val="dashSmallGap" w:sz="4" w:space="0" w:color="auto"/>
              <w:left w:val="dotted" w:sz="4" w:space="0" w:color="auto"/>
              <w:bottom w:val="double" w:sz="4" w:space="0" w:color="auto"/>
              <w:right w:val="dotted" w:sz="4" w:space="0" w:color="auto"/>
            </w:tcBorders>
          </w:tcPr>
          <w:p w:rsidR="00087CF4" w:rsidRPr="002A2B2C" w:rsidRDefault="00087CF4" w:rsidP="00805B41">
            <w:pPr>
              <w:spacing w:after="0" w:line="240" w:lineRule="auto"/>
              <w:jc w:val="right"/>
              <w:rPr>
                <w:color w:val="000000"/>
                <w:lang w:eastAsia="sl-SI"/>
              </w:rPr>
            </w:pPr>
          </w:p>
        </w:tc>
        <w:tc>
          <w:tcPr>
            <w:tcW w:w="1240" w:type="dxa"/>
            <w:tcBorders>
              <w:top w:val="dashSmallGap" w:sz="4" w:space="0" w:color="auto"/>
              <w:left w:val="dotted" w:sz="4" w:space="0" w:color="auto"/>
              <w:bottom w:val="double" w:sz="4" w:space="0" w:color="auto"/>
              <w:right w:val="dotted" w:sz="4" w:space="0" w:color="auto"/>
            </w:tcBorders>
          </w:tcPr>
          <w:p w:rsidR="00087CF4" w:rsidRPr="002A2B2C" w:rsidRDefault="00087CF4" w:rsidP="00805B41">
            <w:pPr>
              <w:spacing w:after="0" w:line="240" w:lineRule="auto"/>
              <w:jc w:val="right"/>
              <w:rPr>
                <w:color w:val="000000"/>
                <w:lang w:eastAsia="sl-SI"/>
              </w:rPr>
            </w:pPr>
          </w:p>
        </w:tc>
      </w:tr>
    </w:tbl>
    <w:p w:rsidR="00087CF4" w:rsidRDefault="00087CF4" w:rsidP="00295557"/>
    <w:p w:rsidR="00087CF4" w:rsidRPr="00341F25" w:rsidRDefault="00087CF4" w:rsidP="00406422">
      <w:pPr>
        <w:pStyle w:val="Heading2"/>
        <w:rPr>
          <w:rFonts w:ascii="Calibri" w:hAnsi="Calibri"/>
        </w:rPr>
      </w:pPr>
      <w:r w:rsidRPr="00341F25">
        <w:rPr>
          <w:rFonts w:ascii="Calibri" w:hAnsi="Calibri"/>
        </w:rPr>
        <w:t xml:space="preserve"> </w:t>
      </w:r>
      <w:bookmarkStart w:id="18" w:name="_Toc416257827"/>
      <w:r w:rsidRPr="00341F25">
        <w:rPr>
          <w:rFonts w:ascii="Calibri" w:hAnsi="Calibri"/>
        </w:rPr>
        <w:t>Višina najemnine za javno infrastrukturo in podatek o njenem deležu, ki se prenese na uporabnike javne infrastrukture</w:t>
      </w:r>
      <w:bookmarkEnd w:id="18"/>
    </w:p>
    <w:p w:rsidR="00087CF4" w:rsidRDefault="00087CF4" w:rsidP="00295557">
      <w:r>
        <w:t>Izvajalec javne službe ne plačuje najemnine za javno infrastrukturo, ker je ta v lasti občine Črna na Koroškem, ki je hkrati izvajalec javne službe. Na uporabnike storitev se najemnina ne prenaša.</w:t>
      </w:r>
    </w:p>
    <w:p w:rsidR="00087CF4" w:rsidRPr="00341F25" w:rsidRDefault="00087CF4" w:rsidP="00805B41">
      <w:pPr>
        <w:pStyle w:val="Heading2"/>
        <w:rPr>
          <w:rFonts w:ascii="Calibri" w:hAnsi="Calibri"/>
        </w:rPr>
      </w:pPr>
      <w:r w:rsidRPr="00341F25">
        <w:rPr>
          <w:rFonts w:ascii="Calibri" w:hAnsi="Calibri"/>
        </w:rPr>
        <w:t xml:space="preserve"> </w:t>
      </w:r>
      <w:bookmarkStart w:id="19" w:name="_Toc416257828"/>
      <w:r w:rsidRPr="00341F25">
        <w:rPr>
          <w:rFonts w:ascii="Calibri" w:hAnsi="Calibri"/>
        </w:rPr>
        <w:t>Stopnja izkoriščenosti javne infrastrukture, ki je namenjena izvajanju javne službe, in stopnja izkoriščenosti javne infrastrukture, ki je namenjena za izvajanje posebnih storitev</w:t>
      </w:r>
      <w:bookmarkEnd w:id="19"/>
    </w:p>
    <w:p w:rsidR="00087CF4" w:rsidRDefault="00087CF4" w:rsidP="00295557">
      <w:r>
        <w:t>Vsa infrastruktura je namenjena samo za izvajanje javne službe. Stopnja izkoriščenosti infrastrukture znaša 100 %.</w:t>
      </w:r>
    </w:p>
    <w:p w:rsidR="00087CF4" w:rsidRPr="00341F25" w:rsidRDefault="00087CF4" w:rsidP="00BE4F15">
      <w:pPr>
        <w:pStyle w:val="Heading2"/>
        <w:rPr>
          <w:rFonts w:ascii="Calibri" w:hAnsi="Calibri"/>
        </w:rPr>
      </w:pPr>
      <w:r w:rsidRPr="00341F25">
        <w:rPr>
          <w:rFonts w:ascii="Calibri" w:hAnsi="Calibri"/>
        </w:rPr>
        <w:t xml:space="preserve"> </w:t>
      </w:r>
      <w:bookmarkStart w:id="20" w:name="_Toc416257829"/>
      <w:r w:rsidRPr="00341F25">
        <w:rPr>
          <w:rFonts w:ascii="Calibri" w:hAnsi="Calibri"/>
        </w:rPr>
        <w:t>Izračun predračunske cene storitev posamezne javne službe za prihodnje obračunsko obdobje</w:t>
      </w:r>
      <w:bookmarkEnd w:id="20"/>
      <w:r w:rsidRPr="00341F25">
        <w:rPr>
          <w:rFonts w:ascii="Calibri" w:hAnsi="Calibri"/>
        </w:rPr>
        <w:t xml:space="preserve"> </w:t>
      </w:r>
    </w:p>
    <w:p w:rsidR="00087CF4" w:rsidRDefault="00087CF4" w:rsidP="00295557">
      <w:r>
        <w:t>Na osnovi  z 16. - 18 . člena Uredbe se za storitve javne službe čiščenje odpadne vode oblikujeta  ločeni predračunski ceni za omrežnino in čiščenje. Podatki (stroški omrežnine, število vodomerov po DN) za omrežnino za leto 2016 so podani v preglednici 5 in za čiščenje (stroški odvajanja in načrtovana količina odpadne vode) pa v preglednici 6.</w:t>
      </w:r>
    </w:p>
    <w:p w:rsidR="00087CF4" w:rsidRDefault="00087CF4" w:rsidP="00AB0187">
      <w:pPr>
        <w:pStyle w:val="Caption"/>
        <w:keepNext/>
      </w:pPr>
      <w:r w:rsidRPr="00F632F3">
        <w:t xml:space="preserve">Preglednica </w:t>
      </w:r>
      <w:fldSimple w:instr=" SEQ Preglednica \* ARABIC ">
        <w:r>
          <w:rPr>
            <w:noProof/>
          </w:rPr>
          <w:t>5</w:t>
        </w:r>
      </w:fldSimple>
      <w:r>
        <w:rPr>
          <w:noProof/>
        </w:rPr>
        <w:t>:</w:t>
      </w:r>
      <w:r w:rsidRPr="00F632F3">
        <w:t xml:space="preserve"> Predračunski</w:t>
      </w:r>
      <w:r w:rsidRPr="006027F5">
        <w:t xml:space="preserve"> stroški omrežnine </w:t>
      </w:r>
      <w:r>
        <w:t>2016 za posamezne velikosti vodovodnih priključkov na dejavnosti odvajanja. Cena omrežnine predstavlja stalni mesečni strošek na enoto priključka.</w:t>
      </w:r>
    </w:p>
    <w:tbl>
      <w:tblPr>
        <w:tblW w:w="10060" w:type="dxa"/>
        <w:tblInd w:w="55" w:type="dxa"/>
        <w:tblCellMar>
          <w:left w:w="70" w:type="dxa"/>
          <w:right w:w="70" w:type="dxa"/>
        </w:tblCellMar>
        <w:tblLook w:val="00A0"/>
      </w:tblPr>
      <w:tblGrid>
        <w:gridCol w:w="2460"/>
        <w:gridCol w:w="1091"/>
        <w:gridCol w:w="1240"/>
        <w:gridCol w:w="1240"/>
        <w:gridCol w:w="1071"/>
        <w:gridCol w:w="1540"/>
        <w:gridCol w:w="1460"/>
      </w:tblGrid>
      <w:tr w:rsidR="00087CF4" w:rsidRPr="002A2B2C" w:rsidTr="004A220F">
        <w:trPr>
          <w:trHeight w:val="975"/>
        </w:trPr>
        <w:tc>
          <w:tcPr>
            <w:tcW w:w="2460"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087CF4" w:rsidRPr="004A220F" w:rsidRDefault="00087CF4" w:rsidP="004A220F">
            <w:pPr>
              <w:spacing w:after="0" w:line="240" w:lineRule="auto"/>
              <w:jc w:val="center"/>
              <w:rPr>
                <w:rFonts w:ascii="Arial" w:hAnsi="Arial" w:cs="Arial"/>
                <w:b/>
                <w:bCs/>
                <w:color w:val="000000"/>
                <w:sz w:val="18"/>
                <w:szCs w:val="18"/>
                <w:lang w:eastAsia="sl-SI"/>
              </w:rPr>
            </w:pPr>
            <w:r w:rsidRPr="004A220F">
              <w:rPr>
                <w:rFonts w:ascii="Arial" w:hAnsi="Arial" w:cs="Arial"/>
                <w:b/>
                <w:bCs/>
                <w:color w:val="000000"/>
                <w:sz w:val="18"/>
                <w:szCs w:val="18"/>
                <w:lang w:eastAsia="sl-SI"/>
              </w:rPr>
              <w:t>Vrsta priključeka</w:t>
            </w:r>
          </w:p>
        </w:tc>
        <w:tc>
          <w:tcPr>
            <w:tcW w:w="1060" w:type="dxa"/>
            <w:tcBorders>
              <w:top w:val="single" w:sz="4" w:space="0" w:color="auto"/>
              <w:left w:val="nil"/>
              <w:bottom w:val="single" w:sz="4" w:space="0" w:color="auto"/>
              <w:right w:val="single" w:sz="4" w:space="0" w:color="auto"/>
            </w:tcBorders>
            <w:shd w:val="clear" w:color="000000" w:fill="BFBFBF"/>
            <w:vAlign w:val="bottom"/>
          </w:tcPr>
          <w:p w:rsidR="00087CF4" w:rsidRPr="004A220F" w:rsidRDefault="00087CF4" w:rsidP="004A220F">
            <w:pPr>
              <w:spacing w:after="0" w:line="240" w:lineRule="auto"/>
              <w:jc w:val="center"/>
              <w:rPr>
                <w:rFonts w:ascii="Arial" w:hAnsi="Arial" w:cs="Arial"/>
                <w:b/>
                <w:bCs/>
                <w:color w:val="000000"/>
                <w:sz w:val="18"/>
                <w:szCs w:val="18"/>
                <w:lang w:eastAsia="sl-SI"/>
              </w:rPr>
            </w:pPr>
            <w:r w:rsidRPr="004A220F">
              <w:rPr>
                <w:rFonts w:ascii="Arial" w:hAnsi="Arial" w:cs="Arial"/>
                <w:b/>
                <w:bCs/>
                <w:color w:val="000000"/>
                <w:sz w:val="18"/>
                <w:szCs w:val="18"/>
                <w:lang w:eastAsia="sl-SI"/>
              </w:rPr>
              <w:t>Število priključkov</w:t>
            </w:r>
          </w:p>
        </w:tc>
        <w:tc>
          <w:tcPr>
            <w:tcW w:w="1240" w:type="dxa"/>
            <w:tcBorders>
              <w:top w:val="single" w:sz="4" w:space="0" w:color="auto"/>
              <w:left w:val="nil"/>
              <w:bottom w:val="single" w:sz="4" w:space="0" w:color="auto"/>
              <w:right w:val="single" w:sz="4" w:space="0" w:color="auto"/>
            </w:tcBorders>
            <w:shd w:val="clear" w:color="000000" w:fill="BFBFBF"/>
            <w:vAlign w:val="bottom"/>
          </w:tcPr>
          <w:p w:rsidR="00087CF4" w:rsidRPr="004A220F" w:rsidRDefault="00087CF4" w:rsidP="004A220F">
            <w:pPr>
              <w:spacing w:after="0" w:line="240" w:lineRule="auto"/>
              <w:jc w:val="center"/>
              <w:rPr>
                <w:rFonts w:ascii="Arial" w:hAnsi="Arial" w:cs="Arial"/>
                <w:b/>
                <w:bCs/>
                <w:color w:val="000000"/>
                <w:sz w:val="18"/>
                <w:szCs w:val="18"/>
                <w:lang w:eastAsia="sl-SI"/>
              </w:rPr>
            </w:pPr>
            <w:r w:rsidRPr="004A220F">
              <w:rPr>
                <w:rFonts w:ascii="Arial" w:hAnsi="Arial" w:cs="Arial"/>
                <w:b/>
                <w:bCs/>
                <w:color w:val="000000"/>
                <w:sz w:val="18"/>
                <w:szCs w:val="18"/>
                <w:lang w:eastAsia="sl-SI"/>
              </w:rPr>
              <w:t>Predpisani faktor</w:t>
            </w:r>
          </w:p>
        </w:tc>
        <w:tc>
          <w:tcPr>
            <w:tcW w:w="1240" w:type="dxa"/>
            <w:tcBorders>
              <w:top w:val="single" w:sz="4" w:space="0" w:color="auto"/>
              <w:left w:val="nil"/>
              <w:bottom w:val="single" w:sz="4" w:space="0" w:color="auto"/>
              <w:right w:val="single" w:sz="4" w:space="0" w:color="auto"/>
            </w:tcBorders>
            <w:shd w:val="clear" w:color="000000" w:fill="BFBFBF"/>
            <w:vAlign w:val="bottom"/>
          </w:tcPr>
          <w:p w:rsidR="00087CF4" w:rsidRPr="004A220F" w:rsidRDefault="00087CF4" w:rsidP="004A220F">
            <w:pPr>
              <w:spacing w:after="0" w:line="240" w:lineRule="auto"/>
              <w:jc w:val="center"/>
              <w:rPr>
                <w:rFonts w:ascii="Arial" w:hAnsi="Arial" w:cs="Arial"/>
                <w:b/>
                <w:bCs/>
                <w:color w:val="000000"/>
                <w:sz w:val="18"/>
                <w:szCs w:val="18"/>
                <w:lang w:eastAsia="sl-SI"/>
              </w:rPr>
            </w:pPr>
            <w:r w:rsidRPr="004A220F">
              <w:rPr>
                <w:rFonts w:ascii="Arial" w:hAnsi="Arial" w:cs="Arial"/>
                <w:b/>
                <w:bCs/>
                <w:color w:val="000000"/>
                <w:sz w:val="18"/>
                <w:szCs w:val="18"/>
                <w:lang w:eastAsia="sl-SI"/>
              </w:rPr>
              <w:t>Vsota faktorjev</w:t>
            </w:r>
          </w:p>
        </w:tc>
        <w:tc>
          <w:tcPr>
            <w:tcW w:w="1060" w:type="dxa"/>
            <w:tcBorders>
              <w:top w:val="single" w:sz="4" w:space="0" w:color="auto"/>
              <w:left w:val="nil"/>
              <w:bottom w:val="single" w:sz="4" w:space="0" w:color="auto"/>
              <w:right w:val="single" w:sz="4" w:space="0" w:color="auto"/>
            </w:tcBorders>
            <w:shd w:val="clear" w:color="000000" w:fill="BFBFBF"/>
            <w:vAlign w:val="bottom"/>
          </w:tcPr>
          <w:p w:rsidR="00087CF4" w:rsidRPr="004A220F" w:rsidRDefault="00087CF4" w:rsidP="004A220F">
            <w:pPr>
              <w:spacing w:after="0" w:line="240" w:lineRule="auto"/>
              <w:jc w:val="center"/>
              <w:rPr>
                <w:rFonts w:ascii="Arial" w:hAnsi="Arial" w:cs="Arial"/>
                <w:b/>
                <w:bCs/>
                <w:color w:val="000000"/>
                <w:sz w:val="18"/>
                <w:szCs w:val="18"/>
                <w:lang w:eastAsia="sl-SI"/>
              </w:rPr>
            </w:pPr>
            <w:r w:rsidRPr="004A220F">
              <w:rPr>
                <w:rFonts w:ascii="Arial" w:hAnsi="Arial" w:cs="Arial"/>
                <w:b/>
                <w:bCs/>
                <w:color w:val="000000"/>
                <w:sz w:val="18"/>
                <w:szCs w:val="18"/>
                <w:lang w:eastAsia="sl-SI"/>
              </w:rPr>
              <w:t>Omrežnina   v €</w:t>
            </w:r>
          </w:p>
        </w:tc>
        <w:tc>
          <w:tcPr>
            <w:tcW w:w="1540" w:type="dxa"/>
            <w:tcBorders>
              <w:top w:val="single" w:sz="4" w:space="0" w:color="auto"/>
              <w:left w:val="nil"/>
              <w:bottom w:val="single" w:sz="4" w:space="0" w:color="auto"/>
              <w:right w:val="single" w:sz="4" w:space="0" w:color="auto"/>
            </w:tcBorders>
            <w:shd w:val="clear" w:color="000000" w:fill="BFBFBF"/>
            <w:vAlign w:val="bottom"/>
          </w:tcPr>
          <w:p w:rsidR="00087CF4" w:rsidRPr="004A220F" w:rsidRDefault="00087CF4" w:rsidP="004A220F">
            <w:pPr>
              <w:spacing w:after="0" w:line="240" w:lineRule="auto"/>
              <w:jc w:val="center"/>
              <w:rPr>
                <w:rFonts w:ascii="Arial" w:hAnsi="Arial" w:cs="Arial"/>
                <w:b/>
                <w:bCs/>
                <w:color w:val="000000"/>
                <w:sz w:val="18"/>
                <w:szCs w:val="18"/>
                <w:lang w:eastAsia="sl-SI"/>
              </w:rPr>
            </w:pPr>
            <w:r w:rsidRPr="004A220F">
              <w:rPr>
                <w:rFonts w:ascii="Arial" w:hAnsi="Arial" w:cs="Arial"/>
                <w:b/>
                <w:bCs/>
                <w:color w:val="000000"/>
                <w:sz w:val="18"/>
                <w:szCs w:val="18"/>
                <w:lang w:eastAsia="sl-SI"/>
              </w:rPr>
              <w:t>Omrežnina na priključek v €  na mesec</w:t>
            </w:r>
          </w:p>
        </w:tc>
        <w:tc>
          <w:tcPr>
            <w:tcW w:w="1460" w:type="dxa"/>
            <w:tcBorders>
              <w:top w:val="single" w:sz="4" w:space="0" w:color="auto"/>
              <w:left w:val="nil"/>
              <w:bottom w:val="single" w:sz="4" w:space="0" w:color="auto"/>
              <w:right w:val="single" w:sz="4" w:space="0" w:color="auto"/>
            </w:tcBorders>
            <w:shd w:val="clear" w:color="000000" w:fill="BFBFBF"/>
            <w:vAlign w:val="bottom"/>
          </w:tcPr>
          <w:p w:rsidR="00087CF4" w:rsidRPr="004A220F" w:rsidRDefault="00087CF4" w:rsidP="004A220F">
            <w:pPr>
              <w:spacing w:after="0" w:line="240" w:lineRule="auto"/>
              <w:jc w:val="center"/>
              <w:rPr>
                <w:rFonts w:ascii="Arial" w:hAnsi="Arial" w:cs="Arial"/>
                <w:b/>
                <w:bCs/>
                <w:color w:val="000000"/>
                <w:sz w:val="18"/>
                <w:szCs w:val="18"/>
                <w:lang w:eastAsia="sl-SI"/>
              </w:rPr>
            </w:pPr>
            <w:r w:rsidRPr="004A220F">
              <w:rPr>
                <w:rFonts w:ascii="Arial" w:hAnsi="Arial" w:cs="Arial"/>
                <w:b/>
                <w:bCs/>
                <w:color w:val="000000"/>
                <w:sz w:val="18"/>
                <w:szCs w:val="18"/>
                <w:lang w:eastAsia="sl-SI"/>
              </w:rPr>
              <w:t>Omrežnina na priključek v €  na mesec z DDV</w:t>
            </w:r>
          </w:p>
        </w:tc>
      </w:tr>
      <w:tr w:rsidR="00087CF4" w:rsidRPr="002A2B2C" w:rsidTr="004A220F">
        <w:trPr>
          <w:trHeight w:val="300"/>
        </w:trPr>
        <w:tc>
          <w:tcPr>
            <w:tcW w:w="2460" w:type="dxa"/>
            <w:tcBorders>
              <w:top w:val="nil"/>
              <w:left w:val="single" w:sz="4" w:space="0" w:color="auto"/>
              <w:bottom w:val="single" w:sz="4" w:space="0" w:color="auto"/>
              <w:right w:val="single" w:sz="4" w:space="0" w:color="auto"/>
            </w:tcBorders>
            <w:noWrap/>
            <w:vAlign w:val="bottom"/>
          </w:tcPr>
          <w:p w:rsidR="00087CF4" w:rsidRPr="004A220F" w:rsidRDefault="00087CF4" w:rsidP="004A220F">
            <w:pPr>
              <w:spacing w:after="0" w:line="240" w:lineRule="auto"/>
              <w:jc w:val="left"/>
              <w:rPr>
                <w:rFonts w:ascii="Arial" w:hAnsi="Arial" w:cs="Arial"/>
                <w:color w:val="000000"/>
                <w:sz w:val="18"/>
                <w:szCs w:val="18"/>
                <w:lang w:eastAsia="sl-SI"/>
              </w:rPr>
            </w:pPr>
            <w:r w:rsidRPr="004A220F">
              <w:rPr>
                <w:rFonts w:ascii="Arial" w:hAnsi="Arial" w:cs="Arial"/>
                <w:color w:val="000000"/>
                <w:sz w:val="18"/>
                <w:szCs w:val="18"/>
                <w:lang w:eastAsia="sl-SI"/>
              </w:rPr>
              <w:t> </w:t>
            </w:r>
          </w:p>
        </w:tc>
        <w:tc>
          <w:tcPr>
            <w:tcW w:w="1060" w:type="dxa"/>
            <w:tcBorders>
              <w:top w:val="nil"/>
              <w:left w:val="nil"/>
              <w:bottom w:val="nil"/>
              <w:right w:val="single" w:sz="4" w:space="0" w:color="auto"/>
            </w:tcBorders>
            <w:noWrap/>
            <w:vAlign w:val="bottom"/>
          </w:tcPr>
          <w:p w:rsidR="00087CF4" w:rsidRPr="004A220F" w:rsidRDefault="00087CF4" w:rsidP="004A220F">
            <w:pPr>
              <w:spacing w:after="0" w:line="240" w:lineRule="auto"/>
              <w:jc w:val="left"/>
              <w:rPr>
                <w:rFonts w:ascii="Arial" w:hAnsi="Arial" w:cs="Arial"/>
                <w:color w:val="000000"/>
                <w:sz w:val="18"/>
                <w:szCs w:val="18"/>
                <w:lang w:eastAsia="sl-SI"/>
              </w:rPr>
            </w:pPr>
            <w:r w:rsidRPr="004A220F">
              <w:rPr>
                <w:rFonts w:ascii="Arial" w:hAnsi="Arial" w:cs="Arial"/>
                <w:color w:val="000000"/>
                <w:sz w:val="18"/>
                <w:szCs w:val="18"/>
                <w:lang w:eastAsia="sl-SI"/>
              </w:rPr>
              <w:t> </w:t>
            </w:r>
          </w:p>
        </w:tc>
        <w:tc>
          <w:tcPr>
            <w:tcW w:w="1240" w:type="dxa"/>
            <w:tcBorders>
              <w:top w:val="nil"/>
              <w:left w:val="nil"/>
              <w:bottom w:val="single" w:sz="4" w:space="0" w:color="auto"/>
              <w:right w:val="single" w:sz="4" w:space="0" w:color="auto"/>
            </w:tcBorders>
            <w:noWrap/>
            <w:vAlign w:val="bottom"/>
          </w:tcPr>
          <w:p w:rsidR="00087CF4" w:rsidRPr="004A220F" w:rsidRDefault="00087CF4" w:rsidP="004A220F">
            <w:pPr>
              <w:spacing w:after="0" w:line="240" w:lineRule="auto"/>
              <w:jc w:val="left"/>
              <w:rPr>
                <w:rFonts w:ascii="Arial" w:hAnsi="Arial" w:cs="Arial"/>
                <w:color w:val="000000"/>
                <w:sz w:val="18"/>
                <w:szCs w:val="18"/>
                <w:lang w:eastAsia="sl-SI"/>
              </w:rPr>
            </w:pPr>
            <w:r w:rsidRPr="004A220F">
              <w:rPr>
                <w:rFonts w:ascii="Arial" w:hAnsi="Arial" w:cs="Arial"/>
                <w:color w:val="000000"/>
                <w:sz w:val="18"/>
                <w:szCs w:val="18"/>
                <w:lang w:eastAsia="sl-SI"/>
              </w:rPr>
              <w:t> </w:t>
            </w:r>
          </w:p>
        </w:tc>
        <w:tc>
          <w:tcPr>
            <w:tcW w:w="1240" w:type="dxa"/>
            <w:tcBorders>
              <w:top w:val="nil"/>
              <w:left w:val="nil"/>
              <w:bottom w:val="single" w:sz="4" w:space="0" w:color="auto"/>
              <w:right w:val="single" w:sz="4" w:space="0" w:color="auto"/>
            </w:tcBorders>
            <w:noWrap/>
            <w:vAlign w:val="bottom"/>
          </w:tcPr>
          <w:p w:rsidR="00087CF4" w:rsidRPr="004A220F" w:rsidRDefault="00087CF4" w:rsidP="004A220F">
            <w:pPr>
              <w:spacing w:after="0" w:line="240" w:lineRule="auto"/>
              <w:jc w:val="left"/>
              <w:rPr>
                <w:rFonts w:ascii="Arial" w:hAnsi="Arial" w:cs="Arial"/>
                <w:color w:val="000000"/>
                <w:sz w:val="18"/>
                <w:szCs w:val="18"/>
                <w:lang w:eastAsia="sl-SI"/>
              </w:rPr>
            </w:pPr>
            <w:r w:rsidRPr="004A220F">
              <w:rPr>
                <w:rFonts w:ascii="Arial" w:hAnsi="Arial" w:cs="Arial"/>
                <w:color w:val="000000"/>
                <w:sz w:val="18"/>
                <w:szCs w:val="18"/>
                <w:lang w:eastAsia="sl-SI"/>
              </w:rPr>
              <w:t> </w:t>
            </w:r>
          </w:p>
        </w:tc>
        <w:tc>
          <w:tcPr>
            <w:tcW w:w="1060" w:type="dxa"/>
            <w:tcBorders>
              <w:top w:val="nil"/>
              <w:left w:val="nil"/>
              <w:bottom w:val="single" w:sz="4" w:space="0" w:color="auto"/>
              <w:right w:val="single" w:sz="4" w:space="0" w:color="auto"/>
            </w:tcBorders>
            <w:noWrap/>
            <w:vAlign w:val="bottom"/>
          </w:tcPr>
          <w:p w:rsidR="00087CF4" w:rsidRPr="004A220F" w:rsidRDefault="00087CF4" w:rsidP="004A220F">
            <w:pPr>
              <w:spacing w:after="0" w:line="240" w:lineRule="auto"/>
              <w:jc w:val="left"/>
              <w:rPr>
                <w:rFonts w:ascii="Arial" w:hAnsi="Arial" w:cs="Arial"/>
                <w:color w:val="000000"/>
                <w:sz w:val="18"/>
                <w:szCs w:val="18"/>
                <w:lang w:eastAsia="sl-SI"/>
              </w:rPr>
            </w:pPr>
            <w:r w:rsidRPr="004A220F">
              <w:rPr>
                <w:rFonts w:ascii="Arial" w:hAnsi="Arial" w:cs="Arial"/>
                <w:color w:val="000000"/>
                <w:sz w:val="18"/>
                <w:szCs w:val="18"/>
                <w:lang w:eastAsia="sl-SI"/>
              </w:rPr>
              <w:t> </w:t>
            </w:r>
          </w:p>
        </w:tc>
        <w:tc>
          <w:tcPr>
            <w:tcW w:w="1540" w:type="dxa"/>
            <w:tcBorders>
              <w:top w:val="nil"/>
              <w:left w:val="nil"/>
              <w:bottom w:val="single" w:sz="4" w:space="0" w:color="auto"/>
              <w:right w:val="single" w:sz="4" w:space="0" w:color="auto"/>
            </w:tcBorders>
            <w:noWrap/>
            <w:vAlign w:val="bottom"/>
          </w:tcPr>
          <w:p w:rsidR="00087CF4" w:rsidRPr="004A220F" w:rsidRDefault="00087CF4" w:rsidP="004A220F">
            <w:pPr>
              <w:spacing w:after="0" w:line="240" w:lineRule="auto"/>
              <w:jc w:val="left"/>
              <w:rPr>
                <w:rFonts w:ascii="Arial" w:hAnsi="Arial" w:cs="Arial"/>
                <w:color w:val="000000"/>
                <w:sz w:val="18"/>
                <w:szCs w:val="18"/>
                <w:lang w:eastAsia="sl-SI"/>
              </w:rPr>
            </w:pPr>
            <w:r w:rsidRPr="004A220F">
              <w:rPr>
                <w:rFonts w:ascii="Arial" w:hAnsi="Arial" w:cs="Arial"/>
                <w:color w:val="000000"/>
                <w:sz w:val="18"/>
                <w:szCs w:val="18"/>
                <w:lang w:eastAsia="sl-SI"/>
              </w:rPr>
              <w:t> </w:t>
            </w:r>
          </w:p>
        </w:tc>
        <w:tc>
          <w:tcPr>
            <w:tcW w:w="1460" w:type="dxa"/>
            <w:tcBorders>
              <w:top w:val="nil"/>
              <w:left w:val="nil"/>
              <w:bottom w:val="single" w:sz="4" w:space="0" w:color="auto"/>
              <w:right w:val="single" w:sz="4" w:space="0" w:color="auto"/>
            </w:tcBorders>
            <w:noWrap/>
            <w:vAlign w:val="bottom"/>
          </w:tcPr>
          <w:p w:rsidR="00087CF4" w:rsidRPr="004A220F" w:rsidRDefault="00087CF4" w:rsidP="004A220F">
            <w:pPr>
              <w:spacing w:after="0" w:line="240" w:lineRule="auto"/>
              <w:jc w:val="left"/>
              <w:rPr>
                <w:rFonts w:ascii="Arial" w:hAnsi="Arial" w:cs="Arial"/>
                <w:color w:val="000000"/>
                <w:sz w:val="18"/>
                <w:szCs w:val="18"/>
                <w:lang w:eastAsia="sl-SI"/>
              </w:rPr>
            </w:pPr>
            <w:r w:rsidRPr="004A220F">
              <w:rPr>
                <w:rFonts w:ascii="Arial" w:hAnsi="Arial" w:cs="Arial"/>
                <w:color w:val="000000"/>
                <w:sz w:val="18"/>
                <w:szCs w:val="18"/>
                <w:lang w:eastAsia="sl-SI"/>
              </w:rPr>
              <w:t> </w:t>
            </w:r>
          </w:p>
        </w:tc>
      </w:tr>
      <w:tr w:rsidR="00087CF4" w:rsidRPr="002A2B2C" w:rsidTr="004A220F">
        <w:trPr>
          <w:trHeight w:val="300"/>
        </w:trPr>
        <w:tc>
          <w:tcPr>
            <w:tcW w:w="2460" w:type="dxa"/>
            <w:tcBorders>
              <w:top w:val="nil"/>
              <w:left w:val="single" w:sz="4" w:space="0" w:color="auto"/>
              <w:bottom w:val="single" w:sz="4" w:space="0" w:color="auto"/>
              <w:right w:val="nil"/>
            </w:tcBorders>
            <w:noWrap/>
            <w:vAlign w:val="bottom"/>
          </w:tcPr>
          <w:p w:rsidR="00087CF4" w:rsidRPr="004A220F" w:rsidRDefault="00087CF4" w:rsidP="004A220F">
            <w:pPr>
              <w:spacing w:after="0" w:line="240" w:lineRule="auto"/>
              <w:jc w:val="left"/>
              <w:rPr>
                <w:rFonts w:ascii="Arial" w:hAnsi="Arial" w:cs="Arial"/>
                <w:color w:val="000000"/>
                <w:sz w:val="18"/>
                <w:szCs w:val="18"/>
                <w:lang w:eastAsia="sl-SI"/>
              </w:rPr>
            </w:pPr>
            <w:r w:rsidRPr="004A220F">
              <w:rPr>
                <w:rFonts w:ascii="Arial" w:hAnsi="Arial" w:cs="Arial"/>
                <w:color w:val="000000"/>
                <w:sz w:val="18"/>
                <w:szCs w:val="18"/>
                <w:lang w:eastAsia="sl-SI"/>
              </w:rPr>
              <w:t>Vodomer     DN &lt;/= 20</w:t>
            </w:r>
          </w:p>
        </w:tc>
        <w:tc>
          <w:tcPr>
            <w:tcW w:w="1060" w:type="dxa"/>
            <w:tcBorders>
              <w:top w:val="single" w:sz="4" w:space="0" w:color="auto"/>
              <w:left w:val="single" w:sz="4" w:space="0" w:color="auto"/>
              <w:bottom w:val="single" w:sz="4" w:space="0" w:color="auto"/>
              <w:right w:val="single" w:sz="4" w:space="0" w:color="auto"/>
            </w:tcBorders>
            <w:vAlign w:val="center"/>
          </w:tcPr>
          <w:p w:rsidR="00087CF4" w:rsidRPr="004A220F" w:rsidRDefault="00087CF4" w:rsidP="004A220F">
            <w:pPr>
              <w:spacing w:after="0" w:line="240" w:lineRule="auto"/>
              <w:jc w:val="center"/>
              <w:rPr>
                <w:rFonts w:ascii="Arial" w:hAnsi="Arial" w:cs="Arial"/>
                <w:sz w:val="18"/>
                <w:szCs w:val="18"/>
                <w:lang w:eastAsia="sl-SI"/>
              </w:rPr>
            </w:pPr>
            <w:r w:rsidRPr="004A220F">
              <w:rPr>
                <w:rFonts w:ascii="Arial" w:hAnsi="Arial" w:cs="Arial"/>
                <w:sz w:val="18"/>
                <w:szCs w:val="18"/>
                <w:lang w:eastAsia="sl-SI"/>
              </w:rPr>
              <w:t>755</w:t>
            </w:r>
          </w:p>
        </w:tc>
        <w:tc>
          <w:tcPr>
            <w:tcW w:w="1240" w:type="dxa"/>
            <w:tcBorders>
              <w:top w:val="nil"/>
              <w:left w:val="nil"/>
              <w:bottom w:val="single" w:sz="4" w:space="0" w:color="auto"/>
              <w:right w:val="single" w:sz="4" w:space="0" w:color="auto"/>
            </w:tcBorders>
            <w:noWrap/>
            <w:vAlign w:val="bottom"/>
          </w:tcPr>
          <w:p w:rsidR="00087CF4" w:rsidRPr="004A220F" w:rsidRDefault="00087CF4" w:rsidP="004A220F">
            <w:pPr>
              <w:spacing w:after="0" w:line="240" w:lineRule="auto"/>
              <w:jc w:val="center"/>
              <w:rPr>
                <w:rFonts w:ascii="Arial" w:hAnsi="Arial" w:cs="Arial"/>
                <w:color w:val="000000"/>
                <w:sz w:val="18"/>
                <w:szCs w:val="18"/>
                <w:lang w:eastAsia="sl-SI"/>
              </w:rPr>
            </w:pPr>
            <w:r w:rsidRPr="004A220F">
              <w:rPr>
                <w:rFonts w:ascii="Arial" w:hAnsi="Arial" w:cs="Arial"/>
                <w:color w:val="000000"/>
                <w:sz w:val="18"/>
                <w:szCs w:val="18"/>
                <w:lang w:eastAsia="sl-SI"/>
              </w:rPr>
              <w:t>1</w:t>
            </w:r>
          </w:p>
        </w:tc>
        <w:tc>
          <w:tcPr>
            <w:tcW w:w="1240" w:type="dxa"/>
            <w:tcBorders>
              <w:top w:val="nil"/>
              <w:left w:val="nil"/>
              <w:bottom w:val="single" w:sz="4" w:space="0" w:color="auto"/>
              <w:right w:val="single" w:sz="4" w:space="0" w:color="auto"/>
            </w:tcBorders>
            <w:noWrap/>
            <w:vAlign w:val="bottom"/>
          </w:tcPr>
          <w:p w:rsidR="00087CF4" w:rsidRPr="004A220F" w:rsidRDefault="00087CF4" w:rsidP="004A220F">
            <w:pPr>
              <w:spacing w:after="0" w:line="240" w:lineRule="auto"/>
              <w:jc w:val="center"/>
              <w:rPr>
                <w:rFonts w:ascii="Arial" w:hAnsi="Arial" w:cs="Arial"/>
                <w:color w:val="000000"/>
                <w:sz w:val="18"/>
                <w:szCs w:val="18"/>
                <w:lang w:eastAsia="sl-SI"/>
              </w:rPr>
            </w:pPr>
            <w:r w:rsidRPr="004A220F">
              <w:rPr>
                <w:rFonts w:ascii="Arial" w:hAnsi="Arial" w:cs="Arial"/>
                <w:color w:val="000000"/>
                <w:sz w:val="18"/>
                <w:szCs w:val="18"/>
                <w:lang w:eastAsia="sl-SI"/>
              </w:rPr>
              <w:t>755</w:t>
            </w:r>
          </w:p>
        </w:tc>
        <w:tc>
          <w:tcPr>
            <w:tcW w:w="1060" w:type="dxa"/>
            <w:tcBorders>
              <w:top w:val="nil"/>
              <w:left w:val="nil"/>
              <w:bottom w:val="single" w:sz="4" w:space="0" w:color="auto"/>
              <w:right w:val="single" w:sz="4" w:space="0" w:color="auto"/>
            </w:tcBorders>
            <w:noWrap/>
            <w:vAlign w:val="bottom"/>
          </w:tcPr>
          <w:p w:rsidR="00087CF4" w:rsidRPr="004A220F" w:rsidRDefault="00087CF4" w:rsidP="004A220F">
            <w:pPr>
              <w:spacing w:after="0" w:line="240" w:lineRule="auto"/>
              <w:jc w:val="center"/>
              <w:rPr>
                <w:rFonts w:ascii="Arial" w:hAnsi="Arial" w:cs="Arial"/>
                <w:color w:val="000000"/>
                <w:sz w:val="18"/>
                <w:szCs w:val="18"/>
                <w:lang w:eastAsia="sl-SI"/>
              </w:rPr>
            </w:pPr>
            <w:r w:rsidRPr="004A220F">
              <w:rPr>
                <w:rFonts w:ascii="Arial" w:hAnsi="Arial" w:cs="Arial"/>
                <w:color w:val="000000"/>
                <w:sz w:val="18"/>
                <w:szCs w:val="18"/>
                <w:lang w:eastAsia="sl-SI"/>
              </w:rPr>
              <w:t xml:space="preserve">   3.667,30   </w:t>
            </w:r>
          </w:p>
        </w:tc>
        <w:tc>
          <w:tcPr>
            <w:tcW w:w="1540" w:type="dxa"/>
            <w:tcBorders>
              <w:top w:val="nil"/>
              <w:left w:val="nil"/>
              <w:bottom w:val="single" w:sz="4" w:space="0" w:color="auto"/>
              <w:right w:val="single" w:sz="4" w:space="0" w:color="auto"/>
            </w:tcBorders>
            <w:noWrap/>
            <w:vAlign w:val="bottom"/>
          </w:tcPr>
          <w:p w:rsidR="00087CF4" w:rsidRPr="004A220F" w:rsidRDefault="00087CF4" w:rsidP="004A220F">
            <w:pPr>
              <w:spacing w:after="0" w:line="240" w:lineRule="auto"/>
              <w:jc w:val="center"/>
              <w:rPr>
                <w:rFonts w:ascii="Arial" w:hAnsi="Arial" w:cs="Arial"/>
                <w:color w:val="000000"/>
                <w:sz w:val="18"/>
                <w:szCs w:val="18"/>
                <w:lang w:eastAsia="sl-SI"/>
              </w:rPr>
            </w:pPr>
            <w:r w:rsidRPr="004A220F">
              <w:rPr>
                <w:rFonts w:ascii="Arial" w:hAnsi="Arial" w:cs="Arial"/>
                <w:color w:val="000000"/>
                <w:sz w:val="18"/>
                <w:szCs w:val="18"/>
                <w:lang w:eastAsia="sl-SI"/>
              </w:rPr>
              <w:t xml:space="preserve">                 0,4048   </w:t>
            </w:r>
          </w:p>
        </w:tc>
        <w:tc>
          <w:tcPr>
            <w:tcW w:w="1460" w:type="dxa"/>
            <w:tcBorders>
              <w:top w:val="nil"/>
              <w:left w:val="nil"/>
              <w:bottom w:val="single" w:sz="4" w:space="0" w:color="auto"/>
              <w:right w:val="single" w:sz="4" w:space="0" w:color="auto"/>
            </w:tcBorders>
            <w:noWrap/>
            <w:vAlign w:val="bottom"/>
          </w:tcPr>
          <w:p w:rsidR="00087CF4" w:rsidRPr="004A220F" w:rsidRDefault="00087CF4" w:rsidP="004A220F">
            <w:pPr>
              <w:spacing w:after="0" w:line="240" w:lineRule="auto"/>
              <w:jc w:val="center"/>
              <w:rPr>
                <w:rFonts w:ascii="Arial" w:hAnsi="Arial" w:cs="Arial"/>
                <w:color w:val="000000"/>
                <w:sz w:val="18"/>
                <w:szCs w:val="18"/>
                <w:lang w:eastAsia="sl-SI"/>
              </w:rPr>
            </w:pPr>
            <w:r w:rsidRPr="004A220F">
              <w:rPr>
                <w:rFonts w:ascii="Arial" w:hAnsi="Arial" w:cs="Arial"/>
                <w:color w:val="000000"/>
                <w:sz w:val="18"/>
                <w:szCs w:val="18"/>
                <w:lang w:eastAsia="sl-SI"/>
              </w:rPr>
              <w:t xml:space="preserve">               0,4432   </w:t>
            </w:r>
          </w:p>
        </w:tc>
      </w:tr>
      <w:tr w:rsidR="00087CF4" w:rsidRPr="002A2B2C" w:rsidTr="004A220F">
        <w:trPr>
          <w:trHeight w:val="300"/>
        </w:trPr>
        <w:tc>
          <w:tcPr>
            <w:tcW w:w="2460" w:type="dxa"/>
            <w:tcBorders>
              <w:top w:val="nil"/>
              <w:left w:val="single" w:sz="4" w:space="0" w:color="auto"/>
              <w:bottom w:val="single" w:sz="4" w:space="0" w:color="auto"/>
              <w:right w:val="nil"/>
            </w:tcBorders>
            <w:noWrap/>
            <w:vAlign w:val="bottom"/>
          </w:tcPr>
          <w:p w:rsidR="00087CF4" w:rsidRPr="004A220F" w:rsidRDefault="00087CF4" w:rsidP="004A220F">
            <w:pPr>
              <w:spacing w:after="0" w:line="240" w:lineRule="auto"/>
              <w:jc w:val="left"/>
              <w:rPr>
                <w:rFonts w:ascii="Arial" w:hAnsi="Arial" w:cs="Arial"/>
                <w:color w:val="000000"/>
                <w:sz w:val="18"/>
                <w:szCs w:val="18"/>
                <w:lang w:eastAsia="sl-SI"/>
              </w:rPr>
            </w:pPr>
            <w:r w:rsidRPr="004A220F">
              <w:rPr>
                <w:rFonts w:ascii="Arial" w:hAnsi="Arial" w:cs="Arial"/>
                <w:color w:val="000000"/>
                <w:sz w:val="18"/>
                <w:szCs w:val="18"/>
                <w:lang w:eastAsia="sl-SI"/>
              </w:rPr>
              <w:t>Vodomer     20 &lt; DN &lt; 40</w:t>
            </w:r>
          </w:p>
        </w:tc>
        <w:tc>
          <w:tcPr>
            <w:tcW w:w="1060" w:type="dxa"/>
            <w:tcBorders>
              <w:top w:val="nil"/>
              <w:left w:val="single" w:sz="4" w:space="0" w:color="auto"/>
              <w:bottom w:val="single" w:sz="4" w:space="0" w:color="auto"/>
              <w:right w:val="single" w:sz="4" w:space="0" w:color="auto"/>
            </w:tcBorders>
            <w:vAlign w:val="center"/>
          </w:tcPr>
          <w:p w:rsidR="00087CF4" w:rsidRPr="004A220F" w:rsidRDefault="00087CF4" w:rsidP="004A220F">
            <w:pPr>
              <w:spacing w:after="0" w:line="240" w:lineRule="auto"/>
              <w:jc w:val="center"/>
              <w:rPr>
                <w:rFonts w:ascii="Arial" w:hAnsi="Arial" w:cs="Arial"/>
                <w:sz w:val="18"/>
                <w:szCs w:val="18"/>
                <w:lang w:eastAsia="sl-SI"/>
              </w:rPr>
            </w:pPr>
            <w:r w:rsidRPr="004A220F">
              <w:rPr>
                <w:rFonts w:ascii="Arial" w:hAnsi="Arial" w:cs="Arial"/>
                <w:sz w:val="18"/>
                <w:szCs w:val="18"/>
                <w:lang w:eastAsia="sl-SI"/>
              </w:rPr>
              <w:t>9</w:t>
            </w:r>
          </w:p>
        </w:tc>
        <w:tc>
          <w:tcPr>
            <w:tcW w:w="1240" w:type="dxa"/>
            <w:tcBorders>
              <w:top w:val="nil"/>
              <w:left w:val="nil"/>
              <w:bottom w:val="single" w:sz="4" w:space="0" w:color="auto"/>
              <w:right w:val="single" w:sz="4" w:space="0" w:color="auto"/>
            </w:tcBorders>
            <w:noWrap/>
            <w:vAlign w:val="bottom"/>
          </w:tcPr>
          <w:p w:rsidR="00087CF4" w:rsidRPr="004A220F" w:rsidRDefault="00087CF4" w:rsidP="004A220F">
            <w:pPr>
              <w:spacing w:after="0" w:line="240" w:lineRule="auto"/>
              <w:jc w:val="center"/>
              <w:rPr>
                <w:rFonts w:ascii="Arial" w:hAnsi="Arial" w:cs="Arial"/>
                <w:color w:val="000000"/>
                <w:sz w:val="18"/>
                <w:szCs w:val="18"/>
                <w:lang w:eastAsia="sl-SI"/>
              </w:rPr>
            </w:pPr>
            <w:r w:rsidRPr="004A220F">
              <w:rPr>
                <w:rFonts w:ascii="Arial" w:hAnsi="Arial" w:cs="Arial"/>
                <w:color w:val="000000"/>
                <w:sz w:val="18"/>
                <w:szCs w:val="18"/>
                <w:lang w:eastAsia="sl-SI"/>
              </w:rPr>
              <w:t>3</w:t>
            </w:r>
          </w:p>
        </w:tc>
        <w:tc>
          <w:tcPr>
            <w:tcW w:w="1240" w:type="dxa"/>
            <w:tcBorders>
              <w:top w:val="nil"/>
              <w:left w:val="nil"/>
              <w:bottom w:val="single" w:sz="4" w:space="0" w:color="auto"/>
              <w:right w:val="single" w:sz="4" w:space="0" w:color="auto"/>
            </w:tcBorders>
            <w:noWrap/>
            <w:vAlign w:val="bottom"/>
          </w:tcPr>
          <w:p w:rsidR="00087CF4" w:rsidRPr="004A220F" w:rsidRDefault="00087CF4" w:rsidP="004A220F">
            <w:pPr>
              <w:spacing w:after="0" w:line="240" w:lineRule="auto"/>
              <w:jc w:val="center"/>
              <w:rPr>
                <w:rFonts w:ascii="Arial" w:hAnsi="Arial" w:cs="Arial"/>
                <w:color w:val="000000"/>
                <w:sz w:val="18"/>
                <w:szCs w:val="18"/>
                <w:lang w:eastAsia="sl-SI"/>
              </w:rPr>
            </w:pPr>
            <w:r w:rsidRPr="004A220F">
              <w:rPr>
                <w:rFonts w:ascii="Arial" w:hAnsi="Arial" w:cs="Arial"/>
                <w:color w:val="000000"/>
                <w:sz w:val="18"/>
                <w:szCs w:val="18"/>
                <w:lang w:eastAsia="sl-SI"/>
              </w:rPr>
              <w:t>27</w:t>
            </w:r>
          </w:p>
        </w:tc>
        <w:tc>
          <w:tcPr>
            <w:tcW w:w="1060" w:type="dxa"/>
            <w:tcBorders>
              <w:top w:val="nil"/>
              <w:left w:val="nil"/>
              <w:bottom w:val="single" w:sz="4" w:space="0" w:color="auto"/>
              <w:right w:val="single" w:sz="4" w:space="0" w:color="auto"/>
            </w:tcBorders>
            <w:noWrap/>
            <w:vAlign w:val="bottom"/>
          </w:tcPr>
          <w:p w:rsidR="00087CF4" w:rsidRPr="004A220F" w:rsidRDefault="00087CF4" w:rsidP="004A220F">
            <w:pPr>
              <w:spacing w:after="0" w:line="240" w:lineRule="auto"/>
              <w:jc w:val="center"/>
              <w:rPr>
                <w:rFonts w:ascii="Arial" w:hAnsi="Arial" w:cs="Arial"/>
                <w:color w:val="000000"/>
                <w:sz w:val="18"/>
                <w:szCs w:val="18"/>
                <w:lang w:eastAsia="sl-SI"/>
              </w:rPr>
            </w:pPr>
            <w:r w:rsidRPr="004A220F">
              <w:rPr>
                <w:rFonts w:ascii="Arial" w:hAnsi="Arial" w:cs="Arial"/>
                <w:color w:val="000000"/>
                <w:sz w:val="18"/>
                <w:szCs w:val="18"/>
                <w:lang w:eastAsia="sl-SI"/>
              </w:rPr>
              <w:t xml:space="preserve">      131,15   </w:t>
            </w:r>
          </w:p>
        </w:tc>
        <w:tc>
          <w:tcPr>
            <w:tcW w:w="1540" w:type="dxa"/>
            <w:tcBorders>
              <w:top w:val="nil"/>
              <w:left w:val="nil"/>
              <w:bottom w:val="single" w:sz="4" w:space="0" w:color="auto"/>
              <w:right w:val="single" w:sz="4" w:space="0" w:color="auto"/>
            </w:tcBorders>
            <w:noWrap/>
            <w:vAlign w:val="bottom"/>
          </w:tcPr>
          <w:p w:rsidR="00087CF4" w:rsidRPr="004A220F" w:rsidRDefault="00087CF4" w:rsidP="004A220F">
            <w:pPr>
              <w:spacing w:after="0" w:line="240" w:lineRule="auto"/>
              <w:jc w:val="center"/>
              <w:rPr>
                <w:rFonts w:ascii="Arial" w:hAnsi="Arial" w:cs="Arial"/>
                <w:color w:val="000000"/>
                <w:sz w:val="18"/>
                <w:szCs w:val="18"/>
                <w:lang w:eastAsia="sl-SI"/>
              </w:rPr>
            </w:pPr>
            <w:r w:rsidRPr="004A220F">
              <w:rPr>
                <w:rFonts w:ascii="Arial" w:hAnsi="Arial" w:cs="Arial"/>
                <w:color w:val="000000"/>
                <w:sz w:val="18"/>
                <w:szCs w:val="18"/>
                <w:lang w:eastAsia="sl-SI"/>
              </w:rPr>
              <w:t xml:space="preserve">                 1,2143   </w:t>
            </w:r>
          </w:p>
        </w:tc>
        <w:tc>
          <w:tcPr>
            <w:tcW w:w="1460" w:type="dxa"/>
            <w:tcBorders>
              <w:top w:val="nil"/>
              <w:left w:val="nil"/>
              <w:bottom w:val="single" w:sz="4" w:space="0" w:color="auto"/>
              <w:right w:val="single" w:sz="4" w:space="0" w:color="auto"/>
            </w:tcBorders>
            <w:noWrap/>
            <w:vAlign w:val="bottom"/>
          </w:tcPr>
          <w:p w:rsidR="00087CF4" w:rsidRPr="004A220F" w:rsidRDefault="00087CF4" w:rsidP="004A220F">
            <w:pPr>
              <w:spacing w:after="0" w:line="240" w:lineRule="auto"/>
              <w:jc w:val="center"/>
              <w:rPr>
                <w:rFonts w:ascii="Arial" w:hAnsi="Arial" w:cs="Arial"/>
                <w:color w:val="000000"/>
                <w:sz w:val="18"/>
                <w:szCs w:val="18"/>
                <w:lang w:eastAsia="sl-SI"/>
              </w:rPr>
            </w:pPr>
            <w:r w:rsidRPr="004A220F">
              <w:rPr>
                <w:rFonts w:ascii="Arial" w:hAnsi="Arial" w:cs="Arial"/>
                <w:color w:val="000000"/>
                <w:sz w:val="18"/>
                <w:szCs w:val="18"/>
                <w:lang w:eastAsia="sl-SI"/>
              </w:rPr>
              <w:t xml:space="preserve">               1,3297   </w:t>
            </w:r>
          </w:p>
        </w:tc>
      </w:tr>
      <w:tr w:rsidR="00087CF4" w:rsidRPr="002A2B2C" w:rsidTr="004A220F">
        <w:trPr>
          <w:trHeight w:val="300"/>
        </w:trPr>
        <w:tc>
          <w:tcPr>
            <w:tcW w:w="2460" w:type="dxa"/>
            <w:tcBorders>
              <w:top w:val="nil"/>
              <w:left w:val="single" w:sz="4" w:space="0" w:color="auto"/>
              <w:bottom w:val="single" w:sz="4" w:space="0" w:color="auto"/>
              <w:right w:val="nil"/>
            </w:tcBorders>
            <w:noWrap/>
            <w:vAlign w:val="bottom"/>
          </w:tcPr>
          <w:p w:rsidR="00087CF4" w:rsidRPr="004A220F" w:rsidRDefault="00087CF4" w:rsidP="004A220F">
            <w:pPr>
              <w:spacing w:after="0" w:line="240" w:lineRule="auto"/>
              <w:jc w:val="left"/>
              <w:rPr>
                <w:rFonts w:ascii="Arial" w:hAnsi="Arial" w:cs="Arial"/>
                <w:color w:val="000000"/>
                <w:sz w:val="18"/>
                <w:szCs w:val="18"/>
                <w:lang w:eastAsia="sl-SI"/>
              </w:rPr>
            </w:pPr>
            <w:r w:rsidRPr="004A220F">
              <w:rPr>
                <w:rFonts w:ascii="Arial" w:hAnsi="Arial" w:cs="Arial"/>
                <w:color w:val="000000"/>
                <w:sz w:val="18"/>
                <w:szCs w:val="18"/>
                <w:lang w:eastAsia="sl-SI"/>
              </w:rPr>
              <w:t>Vodomer     40 /= &lt; DN &lt; 50</w:t>
            </w:r>
          </w:p>
        </w:tc>
        <w:tc>
          <w:tcPr>
            <w:tcW w:w="1060" w:type="dxa"/>
            <w:tcBorders>
              <w:top w:val="nil"/>
              <w:left w:val="single" w:sz="4" w:space="0" w:color="auto"/>
              <w:bottom w:val="single" w:sz="4" w:space="0" w:color="auto"/>
              <w:right w:val="single" w:sz="4" w:space="0" w:color="auto"/>
            </w:tcBorders>
            <w:vAlign w:val="center"/>
          </w:tcPr>
          <w:p w:rsidR="00087CF4" w:rsidRPr="004A220F" w:rsidRDefault="00087CF4" w:rsidP="004A220F">
            <w:pPr>
              <w:spacing w:after="0" w:line="240" w:lineRule="auto"/>
              <w:jc w:val="center"/>
              <w:rPr>
                <w:rFonts w:ascii="Arial" w:hAnsi="Arial" w:cs="Arial"/>
                <w:sz w:val="18"/>
                <w:szCs w:val="18"/>
                <w:lang w:eastAsia="sl-SI"/>
              </w:rPr>
            </w:pPr>
            <w:r w:rsidRPr="004A220F">
              <w:rPr>
                <w:rFonts w:ascii="Arial" w:hAnsi="Arial" w:cs="Arial"/>
                <w:sz w:val="18"/>
                <w:szCs w:val="18"/>
                <w:lang w:eastAsia="sl-SI"/>
              </w:rPr>
              <w:t>1</w:t>
            </w:r>
          </w:p>
        </w:tc>
        <w:tc>
          <w:tcPr>
            <w:tcW w:w="1240" w:type="dxa"/>
            <w:tcBorders>
              <w:top w:val="nil"/>
              <w:left w:val="nil"/>
              <w:bottom w:val="single" w:sz="4" w:space="0" w:color="auto"/>
              <w:right w:val="single" w:sz="4" w:space="0" w:color="auto"/>
            </w:tcBorders>
            <w:noWrap/>
            <w:vAlign w:val="bottom"/>
          </w:tcPr>
          <w:p w:rsidR="00087CF4" w:rsidRPr="004A220F" w:rsidRDefault="00087CF4" w:rsidP="004A220F">
            <w:pPr>
              <w:spacing w:after="0" w:line="240" w:lineRule="auto"/>
              <w:jc w:val="center"/>
              <w:rPr>
                <w:rFonts w:ascii="Arial" w:hAnsi="Arial" w:cs="Arial"/>
                <w:color w:val="000000"/>
                <w:sz w:val="18"/>
                <w:szCs w:val="18"/>
                <w:lang w:eastAsia="sl-SI"/>
              </w:rPr>
            </w:pPr>
            <w:r w:rsidRPr="004A220F">
              <w:rPr>
                <w:rFonts w:ascii="Arial" w:hAnsi="Arial" w:cs="Arial"/>
                <w:color w:val="000000"/>
                <w:sz w:val="18"/>
                <w:szCs w:val="18"/>
                <w:lang w:eastAsia="sl-SI"/>
              </w:rPr>
              <w:t>10</w:t>
            </w:r>
          </w:p>
        </w:tc>
        <w:tc>
          <w:tcPr>
            <w:tcW w:w="1240" w:type="dxa"/>
            <w:tcBorders>
              <w:top w:val="nil"/>
              <w:left w:val="nil"/>
              <w:bottom w:val="single" w:sz="4" w:space="0" w:color="auto"/>
              <w:right w:val="single" w:sz="4" w:space="0" w:color="auto"/>
            </w:tcBorders>
            <w:noWrap/>
            <w:vAlign w:val="bottom"/>
          </w:tcPr>
          <w:p w:rsidR="00087CF4" w:rsidRPr="004A220F" w:rsidRDefault="00087CF4" w:rsidP="004A220F">
            <w:pPr>
              <w:spacing w:after="0" w:line="240" w:lineRule="auto"/>
              <w:jc w:val="center"/>
              <w:rPr>
                <w:rFonts w:ascii="Arial" w:hAnsi="Arial" w:cs="Arial"/>
                <w:color w:val="000000"/>
                <w:sz w:val="18"/>
                <w:szCs w:val="18"/>
                <w:lang w:eastAsia="sl-SI"/>
              </w:rPr>
            </w:pPr>
            <w:r w:rsidRPr="004A220F">
              <w:rPr>
                <w:rFonts w:ascii="Arial" w:hAnsi="Arial" w:cs="Arial"/>
                <w:color w:val="000000"/>
                <w:sz w:val="18"/>
                <w:szCs w:val="18"/>
                <w:lang w:eastAsia="sl-SI"/>
              </w:rPr>
              <w:t>10</w:t>
            </w:r>
          </w:p>
        </w:tc>
        <w:tc>
          <w:tcPr>
            <w:tcW w:w="1060" w:type="dxa"/>
            <w:tcBorders>
              <w:top w:val="nil"/>
              <w:left w:val="nil"/>
              <w:bottom w:val="single" w:sz="4" w:space="0" w:color="auto"/>
              <w:right w:val="single" w:sz="4" w:space="0" w:color="auto"/>
            </w:tcBorders>
            <w:noWrap/>
            <w:vAlign w:val="bottom"/>
          </w:tcPr>
          <w:p w:rsidR="00087CF4" w:rsidRPr="004A220F" w:rsidRDefault="00087CF4" w:rsidP="004A220F">
            <w:pPr>
              <w:spacing w:after="0" w:line="240" w:lineRule="auto"/>
              <w:jc w:val="center"/>
              <w:rPr>
                <w:rFonts w:ascii="Arial" w:hAnsi="Arial" w:cs="Arial"/>
                <w:color w:val="000000"/>
                <w:sz w:val="18"/>
                <w:szCs w:val="18"/>
                <w:lang w:eastAsia="sl-SI"/>
              </w:rPr>
            </w:pPr>
            <w:r w:rsidRPr="004A220F">
              <w:rPr>
                <w:rFonts w:ascii="Arial" w:hAnsi="Arial" w:cs="Arial"/>
                <w:color w:val="000000"/>
                <w:sz w:val="18"/>
                <w:szCs w:val="18"/>
                <w:lang w:eastAsia="sl-SI"/>
              </w:rPr>
              <w:t xml:space="preserve">        48,57   </w:t>
            </w:r>
          </w:p>
        </w:tc>
        <w:tc>
          <w:tcPr>
            <w:tcW w:w="1540" w:type="dxa"/>
            <w:tcBorders>
              <w:top w:val="nil"/>
              <w:left w:val="nil"/>
              <w:bottom w:val="single" w:sz="4" w:space="0" w:color="auto"/>
              <w:right w:val="single" w:sz="4" w:space="0" w:color="auto"/>
            </w:tcBorders>
            <w:noWrap/>
            <w:vAlign w:val="bottom"/>
          </w:tcPr>
          <w:p w:rsidR="00087CF4" w:rsidRPr="004A220F" w:rsidRDefault="00087CF4" w:rsidP="004A220F">
            <w:pPr>
              <w:spacing w:after="0" w:line="240" w:lineRule="auto"/>
              <w:jc w:val="center"/>
              <w:rPr>
                <w:rFonts w:ascii="Arial" w:hAnsi="Arial" w:cs="Arial"/>
                <w:color w:val="000000"/>
                <w:sz w:val="18"/>
                <w:szCs w:val="18"/>
                <w:lang w:eastAsia="sl-SI"/>
              </w:rPr>
            </w:pPr>
            <w:r w:rsidRPr="004A220F">
              <w:rPr>
                <w:rFonts w:ascii="Arial" w:hAnsi="Arial" w:cs="Arial"/>
                <w:color w:val="000000"/>
                <w:sz w:val="18"/>
                <w:szCs w:val="18"/>
                <w:lang w:eastAsia="sl-SI"/>
              </w:rPr>
              <w:t xml:space="preserve">                 4,0478   </w:t>
            </w:r>
          </w:p>
        </w:tc>
        <w:tc>
          <w:tcPr>
            <w:tcW w:w="1460" w:type="dxa"/>
            <w:tcBorders>
              <w:top w:val="nil"/>
              <w:left w:val="nil"/>
              <w:bottom w:val="single" w:sz="4" w:space="0" w:color="auto"/>
              <w:right w:val="single" w:sz="4" w:space="0" w:color="auto"/>
            </w:tcBorders>
            <w:noWrap/>
            <w:vAlign w:val="bottom"/>
          </w:tcPr>
          <w:p w:rsidR="00087CF4" w:rsidRPr="004A220F" w:rsidRDefault="00087CF4" w:rsidP="004A220F">
            <w:pPr>
              <w:spacing w:after="0" w:line="240" w:lineRule="auto"/>
              <w:jc w:val="center"/>
              <w:rPr>
                <w:rFonts w:ascii="Arial" w:hAnsi="Arial" w:cs="Arial"/>
                <w:color w:val="000000"/>
                <w:sz w:val="18"/>
                <w:szCs w:val="18"/>
                <w:lang w:eastAsia="sl-SI"/>
              </w:rPr>
            </w:pPr>
            <w:r w:rsidRPr="004A220F">
              <w:rPr>
                <w:rFonts w:ascii="Arial" w:hAnsi="Arial" w:cs="Arial"/>
                <w:color w:val="000000"/>
                <w:sz w:val="18"/>
                <w:szCs w:val="18"/>
                <w:lang w:eastAsia="sl-SI"/>
              </w:rPr>
              <w:t xml:space="preserve">               4,4323   </w:t>
            </w:r>
          </w:p>
        </w:tc>
      </w:tr>
      <w:tr w:rsidR="00087CF4" w:rsidRPr="002A2B2C" w:rsidTr="004A220F">
        <w:trPr>
          <w:trHeight w:val="300"/>
        </w:trPr>
        <w:tc>
          <w:tcPr>
            <w:tcW w:w="2460" w:type="dxa"/>
            <w:tcBorders>
              <w:top w:val="nil"/>
              <w:left w:val="single" w:sz="4" w:space="0" w:color="auto"/>
              <w:bottom w:val="single" w:sz="4" w:space="0" w:color="auto"/>
              <w:right w:val="nil"/>
            </w:tcBorders>
            <w:noWrap/>
            <w:vAlign w:val="bottom"/>
          </w:tcPr>
          <w:p w:rsidR="00087CF4" w:rsidRPr="004A220F" w:rsidRDefault="00087CF4" w:rsidP="004A220F">
            <w:pPr>
              <w:spacing w:after="0" w:line="240" w:lineRule="auto"/>
              <w:jc w:val="left"/>
              <w:rPr>
                <w:rFonts w:ascii="Arial" w:hAnsi="Arial" w:cs="Arial"/>
                <w:color w:val="000000"/>
                <w:sz w:val="18"/>
                <w:szCs w:val="18"/>
                <w:lang w:eastAsia="sl-SI"/>
              </w:rPr>
            </w:pPr>
            <w:r w:rsidRPr="004A220F">
              <w:rPr>
                <w:rFonts w:ascii="Arial" w:hAnsi="Arial" w:cs="Arial"/>
                <w:color w:val="000000"/>
                <w:sz w:val="18"/>
                <w:szCs w:val="18"/>
                <w:lang w:eastAsia="sl-SI"/>
              </w:rPr>
              <w:t>Vodomer     50 /= &lt; DN &lt; 65</w:t>
            </w:r>
          </w:p>
        </w:tc>
        <w:tc>
          <w:tcPr>
            <w:tcW w:w="1060" w:type="dxa"/>
            <w:tcBorders>
              <w:top w:val="nil"/>
              <w:left w:val="single" w:sz="4" w:space="0" w:color="auto"/>
              <w:bottom w:val="single" w:sz="4" w:space="0" w:color="auto"/>
              <w:right w:val="single" w:sz="4" w:space="0" w:color="auto"/>
            </w:tcBorders>
            <w:vAlign w:val="center"/>
          </w:tcPr>
          <w:p w:rsidR="00087CF4" w:rsidRPr="004A220F" w:rsidRDefault="00087CF4" w:rsidP="004A220F">
            <w:pPr>
              <w:spacing w:after="0" w:line="240" w:lineRule="auto"/>
              <w:jc w:val="center"/>
              <w:rPr>
                <w:rFonts w:ascii="Arial" w:hAnsi="Arial" w:cs="Arial"/>
                <w:sz w:val="18"/>
                <w:szCs w:val="18"/>
                <w:lang w:eastAsia="sl-SI"/>
              </w:rPr>
            </w:pPr>
            <w:r w:rsidRPr="004A220F">
              <w:rPr>
                <w:rFonts w:ascii="Arial" w:hAnsi="Arial" w:cs="Arial"/>
                <w:sz w:val="18"/>
                <w:szCs w:val="18"/>
                <w:lang w:eastAsia="sl-SI"/>
              </w:rPr>
              <w:t>3</w:t>
            </w:r>
          </w:p>
        </w:tc>
        <w:tc>
          <w:tcPr>
            <w:tcW w:w="1240" w:type="dxa"/>
            <w:tcBorders>
              <w:top w:val="nil"/>
              <w:left w:val="nil"/>
              <w:bottom w:val="single" w:sz="4" w:space="0" w:color="auto"/>
              <w:right w:val="single" w:sz="4" w:space="0" w:color="auto"/>
            </w:tcBorders>
            <w:noWrap/>
            <w:vAlign w:val="bottom"/>
          </w:tcPr>
          <w:p w:rsidR="00087CF4" w:rsidRPr="004A220F" w:rsidRDefault="00087CF4" w:rsidP="004A220F">
            <w:pPr>
              <w:spacing w:after="0" w:line="240" w:lineRule="auto"/>
              <w:jc w:val="center"/>
              <w:rPr>
                <w:rFonts w:ascii="Arial" w:hAnsi="Arial" w:cs="Arial"/>
                <w:color w:val="000000"/>
                <w:sz w:val="18"/>
                <w:szCs w:val="18"/>
                <w:lang w:eastAsia="sl-SI"/>
              </w:rPr>
            </w:pPr>
            <w:r w:rsidRPr="004A220F">
              <w:rPr>
                <w:rFonts w:ascii="Arial" w:hAnsi="Arial" w:cs="Arial"/>
                <w:color w:val="000000"/>
                <w:sz w:val="18"/>
                <w:szCs w:val="18"/>
                <w:lang w:eastAsia="sl-SI"/>
              </w:rPr>
              <w:t>15</w:t>
            </w:r>
          </w:p>
        </w:tc>
        <w:tc>
          <w:tcPr>
            <w:tcW w:w="1240" w:type="dxa"/>
            <w:tcBorders>
              <w:top w:val="nil"/>
              <w:left w:val="nil"/>
              <w:bottom w:val="single" w:sz="4" w:space="0" w:color="auto"/>
              <w:right w:val="single" w:sz="4" w:space="0" w:color="auto"/>
            </w:tcBorders>
            <w:noWrap/>
            <w:vAlign w:val="bottom"/>
          </w:tcPr>
          <w:p w:rsidR="00087CF4" w:rsidRPr="004A220F" w:rsidRDefault="00087CF4" w:rsidP="004A220F">
            <w:pPr>
              <w:spacing w:after="0" w:line="240" w:lineRule="auto"/>
              <w:jc w:val="center"/>
              <w:rPr>
                <w:rFonts w:ascii="Arial" w:hAnsi="Arial" w:cs="Arial"/>
                <w:color w:val="000000"/>
                <w:sz w:val="18"/>
                <w:szCs w:val="18"/>
                <w:lang w:eastAsia="sl-SI"/>
              </w:rPr>
            </w:pPr>
            <w:r w:rsidRPr="004A220F">
              <w:rPr>
                <w:rFonts w:ascii="Arial" w:hAnsi="Arial" w:cs="Arial"/>
                <w:color w:val="000000"/>
                <w:sz w:val="18"/>
                <w:szCs w:val="18"/>
                <w:lang w:eastAsia="sl-SI"/>
              </w:rPr>
              <w:t>45</w:t>
            </w:r>
          </w:p>
        </w:tc>
        <w:tc>
          <w:tcPr>
            <w:tcW w:w="1060" w:type="dxa"/>
            <w:tcBorders>
              <w:top w:val="nil"/>
              <w:left w:val="nil"/>
              <w:bottom w:val="single" w:sz="4" w:space="0" w:color="auto"/>
              <w:right w:val="single" w:sz="4" w:space="0" w:color="auto"/>
            </w:tcBorders>
            <w:noWrap/>
            <w:vAlign w:val="bottom"/>
          </w:tcPr>
          <w:p w:rsidR="00087CF4" w:rsidRPr="004A220F" w:rsidRDefault="00087CF4" w:rsidP="004A220F">
            <w:pPr>
              <w:spacing w:after="0" w:line="240" w:lineRule="auto"/>
              <w:jc w:val="center"/>
              <w:rPr>
                <w:rFonts w:ascii="Arial" w:hAnsi="Arial" w:cs="Arial"/>
                <w:color w:val="000000"/>
                <w:sz w:val="18"/>
                <w:szCs w:val="18"/>
                <w:lang w:eastAsia="sl-SI"/>
              </w:rPr>
            </w:pPr>
            <w:r w:rsidRPr="004A220F">
              <w:rPr>
                <w:rFonts w:ascii="Arial" w:hAnsi="Arial" w:cs="Arial"/>
                <w:color w:val="000000"/>
                <w:sz w:val="18"/>
                <w:szCs w:val="18"/>
                <w:lang w:eastAsia="sl-SI"/>
              </w:rPr>
              <w:t xml:space="preserve">      218,58   </w:t>
            </w:r>
          </w:p>
        </w:tc>
        <w:tc>
          <w:tcPr>
            <w:tcW w:w="1540" w:type="dxa"/>
            <w:tcBorders>
              <w:top w:val="nil"/>
              <w:left w:val="nil"/>
              <w:bottom w:val="single" w:sz="4" w:space="0" w:color="auto"/>
              <w:right w:val="single" w:sz="4" w:space="0" w:color="auto"/>
            </w:tcBorders>
            <w:noWrap/>
            <w:vAlign w:val="bottom"/>
          </w:tcPr>
          <w:p w:rsidR="00087CF4" w:rsidRPr="004A220F" w:rsidRDefault="00087CF4" w:rsidP="004A220F">
            <w:pPr>
              <w:spacing w:after="0" w:line="240" w:lineRule="auto"/>
              <w:jc w:val="center"/>
              <w:rPr>
                <w:rFonts w:ascii="Arial" w:hAnsi="Arial" w:cs="Arial"/>
                <w:color w:val="000000"/>
                <w:sz w:val="18"/>
                <w:szCs w:val="18"/>
                <w:lang w:eastAsia="sl-SI"/>
              </w:rPr>
            </w:pPr>
            <w:r w:rsidRPr="004A220F">
              <w:rPr>
                <w:rFonts w:ascii="Arial" w:hAnsi="Arial" w:cs="Arial"/>
                <w:color w:val="000000"/>
                <w:sz w:val="18"/>
                <w:szCs w:val="18"/>
                <w:lang w:eastAsia="sl-SI"/>
              </w:rPr>
              <w:t xml:space="preserve">                 6,0717   </w:t>
            </w:r>
          </w:p>
        </w:tc>
        <w:tc>
          <w:tcPr>
            <w:tcW w:w="1460" w:type="dxa"/>
            <w:tcBorders>
              <w:top w:val="nil"/>
              <w:left w:val="nil"/>
              <w:bottom w:val="single" w:sz="4" w:space="0" w:color="auto"/>
              <w:right w:val="single" w:sz="4" w:space="0" w:color="auto"/>
            </w:tcBorders>
            <w:noWrap/>
            <w:vAlign w:val="bottom"/>
          </w:tcPr>
          <w:p w:rsidR="00087CF4" w:rsidRPr="004A220F" w:rsidRDefault="00087CF4" w:rsidP="004A220F">
            <w:pPr>
              <w:spacing w:after="0" w:line="240" w:lineRule="auto"/>
              <w:jc w:val="center"/>
              <w:rPr>
                <w:rFonts w:ascii="Arial" w:hAnsi="Arial" w:cs="Arial"/>
                <w:color w:val="000000"/>
                <w:sz w:val="18"/>
                <w:szCs w:val="18"/>
                <w:lang w:eastAsia="sl-SI"/>
              </w:rPr>
            </w:pPr>
            <w:r w:rsidRPr="004A220F">
              <w:rPr>
                <w:rFonts w:ascii="Arial" w:hAnsi="Arial" w:cs="Arial"/>
                <w:color w:val="000000"/>
                <w:sz w:val="18"/>
                <w:szCs w:val="18"/>
                <w:lang w:eastAsia="sl-SI"/>
              </w:rPr>
              <w:t xml:space="preserve">               6,6485   </w:t>
            </w:r>
          </w:p>
        </w:tc>
      </w:tr>
      <w:tr w:rsidR="00087CF4" w:rsidRPr="002A2B2C" w:rsidTr="004A220F">
        <w:trPr>
          <w:trHeight w:val="300"/>
        </w:trPr>
        <w:tc>
          <w:tcPr>
            <w:tcW w:w="2460" w:type="dxa"/>
            <w:tcBorders>
              <w:top w:val="nil"/>
              <w:left w:val="single" w:sz="4" w:space="0" w:color="auto"/>
              <w:bottom w:val="single" w:sz="4" w:space="0" w:color="auto"/>
              <w:right w:val="nil"/>
            </w:tcBorders>
            <w:noWrap/>
            <w:vAlign w:val="bottom"/>
          </w:tcPr>
          <w:p w:rsidR="00087CF4" w:rsidRPr="004A220F" w:rsidRDefault="00087CF4" w:rsidP="004A220F">
            <w:pPr>
              <w:spacing w:after="0" w:line="240" w:lineRule="auto"/>
              <w:jc w:val="left"/>
              <w:rPr>
                <w:rFonts w:ascii="Arial" w:hAnsi="Arial" w:cs="Arial"/>
                <w:color w:val="000000"/>
                <w:sz w:val="18"/>
                <w:szCs w:val="18"/>
                <w:lang w:eastAsia="sl-SI"/>
              </w:rPr>
            </w:pPr>
            <w:r w:rsidRPr="004A220F">
              <w:rPr>
                <w:rFonts w:ascii="Arial" w:hAnsi="Arial" w:cs="Arial"/>
                <w:color w:val="000000"/>
                <w:sz w:val="18"/>
                <w:szCs w:val="18"/>
                <w:lang w:eastAsia="sl-SI"/>
              </w:rPr>
              <w:t>Vodomer     65 /= &lt; DN &lt; 80</w:t>
            </w:r>
          </w:p>
        </w:tc>
        <w:tc>
          <w:tcPr>
            <w:tcW w:w="1060" w:type="dxa"/>
            <w:tcBorders>
              <w:top w:val="nil"/>
              <w:left w:val="single" w:sz="4" w:space="0" w:color="auto"/>
              <w:bottom w:val="single" w:sz="4" w:space="0" w:color="auto"/>
              <w:right w:val="single" w:sz="4" w:space="0" w:color="auto"/>
            </w:tcBorders>
            <w:vAlign w:val="center"/>
          </w:tcPr>
          <w:p w:rsidR="00087CF4" w:rsidRPr="004A220F" w:rsidRDefault="00087CF4" w:rsidP="004A220F">
            <w:pPr>
              <w:spacing w:after="0" w:line="240" w:lineRule="auto"/>
              <w:jc w:val="center"/>
              <w:rPr>
                <w:rFonts w:ascii="Arial" w:hAnsi="Arial" w:cs="Arial"/>
                <w:sz w:val="18"/>
                <w:szCs w:val="18"/>
                <w:lang w:eastAsia="sl-SI"/>
              </w:rPr>
            </w:pPr>
            <w:r w:rsidRPr="004A220F">
              <w:rPr>
                <w:rFonts w:ascii="Arial" w:hAnsi="Arial" w:cs="Arial"/>
                <w:sz w:val="18"/>
                <w:szCs w:val="18"/>
                <w:lang w:eastAsia="sl-SI"/>
              </w:rPr>
              <w:t>0</w:t>
            </w:r>
          </w:p>
        </w:tc>
        <w:tc>
          <w:tcPr>
            <w:tcW w:w="1240" w:type="dxa"/>
            <w:tcBorders>
              <w:top w:val="nil"/>
              <w:left w:val="nil"/>
              <w:bottom w:val="single" w:sz="4" w:space="0" w:color="auto"/>
              <w:right w:val="single" w:sz="4" w:space="0" w:color="auto"/>
            </w:tcBorders>
            <w:noWrap/>
            <w:vAlign w:val="bottom"/>
          </w:tcPr>
          <w:p w:rsidR="00087CF4" w:rsidRPr="004A220F" w:rsidRDefault="00087CF4" w:rsidP="004A220F">
            <w:pPr>
              <w:spacing w:after="0" w:line="240" w:lineRule="auto"/>
              <w:jc w:val="center"/>
              <w:rPr>
                <w:rFonts w:ascii="Arial" w:hAnsi="Arial" w:cs="Arial"/>
                <w:color w:val="000000"/>
                <w:sz w:val="18"/>
                <w:szCs w:val="18"/>
                <w:lang w:eastAsia="sl-SI"/>
              </w:rPr>
            </w:pPr>
            <w:r w:rsidRPr="004A220F">
              <w:rPr>
                <w:rFonts w:ascii="Arial" w:hAnsi="Arial" w:cs="Arial"/>
                <w:color w:val="000000"/>
                <w:sz w:val="18"/>
                <w:szCs w:val="18"/>
                <w:lang w:eastAsia="sl-SI"/>
              </w:rPr>
              <w:t>30</w:t>
            </w:r>
          </w:p>
        </w:tc>
        <w:tc>
          <w:tcPr>
            <w:tcW w:w="1240" w:type="dxa"/>
            <w:tcBorders>
              <w:top w:val="nil"/>
              <w:left w:val="nil"/>
              <w:bottom w:val="single" w:sz="4" w:space="0" w:color="auto"/>
              <w:right w:val="single" w:sz="4" w:space="0" w:color="auto"/>
            </w:tcBorders>
            <w:noWrap/>
            <w:vAlign w:val="bottom"/>
          </w:tcPr>
          <w:p w:rsidR="00087CF4" w:rsidRPr="004A220F" w:rsidRDefault="00087CF4" w:rsidP="004A220F">
            <w:pPr>
              <w:spacing w:after="0" w:line="240" w:lineRule="auto"/>
              <w:jc w:val="center"/>
              <w:rPr>
                <w:rFonts w:ascii="Arial" w:hAnsi="Arial" w:cs="Arial"/>
                <w:color w:val="000000"/>
                <w:sz w:val="18"/>
                <w:szCs w:val="18"/>
                <w:lang w:eastAsia="sl-SI"/>
              </w:rPr>
            </w:pPr>
            <w:r w:rsidRPr="004A220F">
              <w:rPr>
                <w:rFonts w:ascii="Arial" w:hAnsi="Arial" w:cs="Arial"/>
                <w:color w:val="000000"/>
                <w:sz w:val="18"/>
                <w:szCs w:val="18"/>
                <w:lang w:eastAsia="sl-SI"/>
              </w:rPr>
              <w:t>0</w:t>
            </w:r>
          </w:p>
        </w:tc>
        <w:tc>
          <w:tcPr>
            <w:tcW w:w="1060" w:type="dxa"/>
            <w:tcBorders>
              <w:top w:val="nil"/>
              <w:left w:val="nil"/>
              <w:bottom w:val="single" w:sz="4" w:space="0" w:color="auto"/>
              <w:right w:val="single" w:sz="4" w:space="0" w:color="auto"/>
            </w:tcBorders>
            <w:noWrap/>
            <w:vAlign w:val="bottom"/>
          </w:tcPr>
          <w:p w:rsidR="00087CF4" w:rsidRPr="004A220F" w:rsidRDefault="00087CF4" w:rsidP="004A220F">
            <w:pPr>
              <w:spacing w:after="0" w:line="240" w:lineRule="auto"/>
              <w:jc w:val="center"/>
              <w:rPr>
                <w:rFonts w:ascii="Arial" w:hAnsi="Arial" w:cs="Arial"/>
                <w:color w:val="000000"/>
                <w:sz w:val="18"/>
                <w:szCs w:val="18"/>
                <w:lang w:eastAsia="sl-SI"/>
              </w:rPr>
            </w:pPr>
            <w:r w:rsidRPr="004A220F">
              <w:rPr>
                <w:rFonts w:ascii="Arial" w:hAnsi="Arial" w:cs="Arial"/>
                <w:color w:val="000000"/>
                <w:sz w:val="18"/>
                <w:szCs w:val="18"/>
                <w:lang w:eastAsia="sl-SI"/>
              </w:rPr>
              <w:t xml:space="preserve">               -     </w:t>
            </w:r>
          </w:p>
        </w:tc>
        <w:tc>
          <w:tcPr>
            <w:tcW w:w="1540" w:type="dxa"/>
            <w:tcBorders>
              <w:top w:val="nil"/>
              <w:left w:val="nil"/>
              <w:bottom w:val="single" w:sz="4" w:space="0" w:color="auto"/>
              <w:right w:val="single" w:sz="4" w:space="0" w:color="auto"/>
            </w:tcBorders>
            <w:noWrap/>
            <w:vAlign w:val="bottom"/>
          </w:tcPr>
          <w:p w:rsidR="00087CF4" w:rsidRPr="004A220F" w:rsidRDefault="00087CF4" w:rsidP="004A220F">
            <w:pPr>
              <w:spacing w:after="0" w:line="240" w:lineRule="auto"/>
              <w:jc w:val="center"/>
              <w:rPr>
                <w:rFonts w:ascii="Arial" w:hAnsi="Arial" w:cs="Arial"/>
                <w:color w:val="000000"/>
                <w:sz w:val="18"/>
                <w:szCs w:val="18"/>
                <w:lang w:eastAsia="sl-SI"/>
              </w:rPr>
            </w:pPr>
            <w:r w:rsidRPr="004A220F">
              <w:rPr>
                <w:rFonts w:ascii="Arial" w:hAnsi="Arial" w:cs="Arial"/>
                <w:color w:val="000000"/>
                <w:sz w:val="18"/>
                <w:szCs w:val="18"/>
                <w:lang w:eastAsia="sl-SI"/>
              </w:rPr>
              <w:t xml:space="preserve">                          -     </w:t>
            </w:r>
          </w:p>
        </w:tc>
        <w:tc>
          <w:tcPr>
            <w:tcW w:w="1460" w:type="dxa"/>
            <w:tcBorders>
              <w:top w:val="nil"/>
              <w:left w:val="nil"/>
              <w:bottom w:val="single" w:sz="4" w:space="0" w:color="auto"/>
              <w:right w:val="single" w:sz="4" w:space="0" w:color="auto"/>
            </w:tcBorders>
            <w:noWrap/>
            <w:vAlign w:val="bottom"/>
          </w:tcPr>
          <w:p w:rsidR="00087CF4" w:rsidRPr="004A220F" w:rsidRDefault="00087CF4" w:rsidP="004A220F">
            <w:pPr>
              <w:spacing w:after="0" w:line="240" w:lineRule="auto"/>
              <w:jc w:val="center"/>
              <w:rPr>
                <w:rFonts w:ascii="Arial" w:hAnsi="Arial" w:cs="Arial"/>
                <w:color w:val="000000"/>
                <w:sz w:val="18"/>
                <w:szCs w:val="18"/>
                <w:lang w:eastAsia="sl-SI"/>
              </w:rPr>
            </w:pPr>
            <w:r w:rsidRPr="004A220F">
              <w:rPr>
                <w:rFonts w:ascii="Arial" w:hAnsi="Arial" w:cs="Arial"/>
                <w:color w:val="000000"/>
                <w:sz w:val="18"/>
                <w:szCs w:val="18"/>
                <w:lang w:eastAsia="sl-SI"/>
              </w:rPr>
              <w:t xml:space="preserve">                        -     </w:t>
            </w:r>
          </w:p>
        </w:tc>
      </w:tr>
      <w:tr w:rsidR="00087CF4" w:rsidRPr="002A2B2C" w:rsidTr="004A220F">
        <w:trPr>
          <w:trHeight w:val="300"/>
        </w:trPr>
        <w:tc>
          <w:tcPr>
            <w:tcW w:w="2460" w:type="dxa"/>
            <w:tcBorders>
              <w:top w:val="nil"/>
              <w:left w:val="single" w:sz="4" w:space="0" w:color="auto"/>
              <w:bottom w:val="single" w:sz="4" w:space="0" w:color="auto"/>
              <w:right w:val="nil"/>
            </w:tcBorders>
            <w:noWrap/>
            <w:vAlign w:val="bottom"/>
          </w:tcPr>
          <w:p w:rsidR="00087CF4" w:rsidRPr="004A220F" w:rsidRDefault="00087CF4" w:rsidP="004A220F">
            <w:pPr>
              <w:spacing w:after="0" w:line="240" w:lineRule="auto"/>
              <w:jc w:val="left"/>
              <w:rPr>
                <w:rFonts w:ascii="Arial" w:hAnsi="Arial" w:cs="Arial"/>
                <w:color w:val="000000"/>
                <w:sz w:val="18"/>
                <w:szCs w:val="18"/>
                <w:lang w:eastAsia="sl-SI"/>
              </w:rPr>
            </w:pPr>
            <w:r w:rsidRPr="004A220F">
              <w:rPr>
                <w:rFonts w:ascii="Arial" w:hAnsi="Arial" w:cs="Arial"/>
                <w:color w:val="000000"/>
                <w:sz w:val="18"/>
                <w:szCs w:val="18"/>
                <w:lang w:eastAsia="sl-SI"/>
              </w:rPr>
              <w:t>Vodomer     80 /= &lt; DN &lt; 100</w:t>
            </w:r>
          </w:p>
        </w:tc>
        <w:tc>
          <w:tcPr>
            <w:tcW w:w="1060" w:type="dxa"/>
            <w:tcBorders>
              <w:top w:val="nil"/>
              <w:left w:val="single" w:sz="4" w:space="0" w:color="auto"/>
              <w:bottom w:val="single" w:sz="4" w:space="0" w:color="auto"/>
              <w:right w:val="single" w:sz="4" w:space="0" w:color="auto"/>
            </w:tcBorders>
            <w:vAlign w:val="center"/>
          </w:tcPr>
          <w:p w:rsidR="00087CF4" w:rsidRPr="004A220F" w:rsidRDefault="00087CF4" w:rsidP="004A220F">
            <w:pPr>
              <w:spacing w:after="0" w:line="240" w:lineRule="auto"/>
              <w:jc w:val="center"/>
              <w:rPr>
                <w:rFonts w:ascii="Arial" w:hAnsi="Arial" w:cs="Arial"/>
                <w:sz w:val="18"/>
                <w:szCs w:val="18"/>
                <w:lang w:eastAsia="sl-SI"/>
              </w:rPr>
            </w:pPr>
            <w:r w:rsidRPr="004A220F">
              <w:rPr>
                <w:rFonts w:ascii="Arial" w:hAnsi="Arial" w:cs="Arial"/>
                <w:sz w:val="18"/>
                <w:szCs w:val="18"/>
                <w:lang w:eastAsia="sl-SI"/>
              </w:rPr>
              <w:t>0</w:t>
            </w:r>
          </w:p>
        </w:tc>
        <w:tc>
          <w:tcPr>
            <w:tcW w:w="1240" w:type="dxa"/>
            <w:tcBorders>
              <w:top w:val="nil"/>
              <w:left w:val="nil"/>
              <w:bottom w:val="single" w:sz="4" w:space="0" w:color="auto"/>
              <w:right w:val="single" w:sz="4" w:space="0" w:color="auto"/>
            </w:tcBorders>
            <w:noWrap/>
            <w:vAlign w:val="bottom"/>
          </w:tcPr>
          <w:p w:rsidR="00087CF4" w:rsidRPr="004A220F" w:rsidRDefault="00087CF4" w:rsidP="004A220F">
            <w:pPr>
              <w:spacing w:after="0" w:line="240" w:lineRule="auto"/>
              <w:jc w:val="center"/>
              <w:rPr>
                <w:rFonts w:ascii="Arial" w:hAnsi="Arial" w:cs="Arial"/>
                <w:color w:val="000000"/>
                <w:sz w:val="18"/>
                <w:szCs w:val="18"/>
                <w:lang w:eastAsia="sl-SI"/>
              </w:rPr>
            </w:pPr>
            <w:r w:rsidRPr="004A220F">
              <w:rPr>
                <w:rFonts w:ascii="Arial" w:hAnsi="Arial" w:cs="Arial"/>
                <w:color w:val="000000"/>
                <w:sz w:val="18"/>
                <w:szCs w:val="18"/>
                <w:lang w:eastAsia="sl-SI"/>
              </w:rPr>
              <w:t>50</w:t>
            </w:r>
          </w:p>
        </w:tc>
        <w:tc>
          <w:tcPr>
            <w:tcW w:w="1240" w:type="dxa"/>
            <w:tcBorders>
              <w:top w:val="nil"/>
              <w:left w:val="nil"/>
              <w:bottom w:val="single" w:sz="4" w:space="0" w:color="auto"/>
              <w:right w:val="single" w:sz="4" w:space="0" w:color="auto"/>
            </w:tcBorders>
            <w:noWrap/>
            <w:vAlign w:val="bottom"/>
          </w:tcPr>
          <w:p w:rsidR="00087CF4" w:rsidRPr="004A220F" w:rsidRDefault="00087CF4" w:rsidP="004A220F">
            <w:pPr>
              <w:spacing w:after="0" w:line="240" w:lineRule="auto"/>
              <w:jc w:val="center"/>
              <w:rPr>
                <w:rFonts w:ascii="Arial" w:hAnsi="Arial" w:cs="Arial"/>
                <w:color w:val="000000"/>
                <w:sz w:val="18"/>
                <w:szCs w:val="18"/>
                <w:lang w:eastAsia="sl-SI"/>
              </w:rPr>
            </w:pPr>
            <w:r w:rsidRPr="004A220F">
              <w:rPr>
                <w:rFonts w:ascii="Arial" w:hAnsi="Arial" w:cs="Arial"/>
                <w:color w:val="000000"/>
                <w:sz w:val="18"/>
                <w:szCs w:val="18"/>
                <w:lang w:eastAsia="sl-SI"/>
              </w:rPr>
              <w:t>0</w:t>
            </w:r>
          </w:p>
        </w:tc>
        <w:tc>
          <w:tcPr>
            <w:tcW w:w="1060" w:type="dxa"/>
            <w:tcBorders>
              <w:top w:val="nil"/>
              <w:left w:val="nil"/>
              <w:bottom w:val="single" w:sz="4" w:space="0" w:color="auto"/>
              <w:right w:val="single" w:sz="4" w:space="0" w:color="auto"/>
            </w:tcBorders>
            <w:noWrap/>
            <w:vAlign w:val="bottom"/>
          </w:tcPr>
          <w:p w:rsidR="00087CF4" w:rsidRPr="004A220F" w:rsidRDefault="00087CF4" w:rsidP="004A220F">
            <w:pPr>
              <w:spacing w:after="0" w:line="240" w:lineRule="auto"/>
              <w:jc w:val="center"/>
              <w:rPr>
                <w:rFonts w:ascii="Arial" w:hAnsi="Arial" w:cs="Arial"/>
                <w:color w:val="000000"/>
                <w:sz w:val="18"/>
                <w:szCs w:val="18"/>
                <w:lang w:eastAsia="sl-SI"/>
              </w:rPr>
            </w:pPr>
            <w:r w:rsidRPr="004A220F">
              <w:rPr>
                <w:rFonts w:ascii="Arial" w:hAnsi="Arial" w:cs="Arial"/>
                <w:color w:val="000000"/>
                <w:sz w:val="18"/>
                <w:szCs w:val="18"/>
                <w:lang w:eastAsia="sl-SI"/>
              </w:rPr>
              <w:t xml:space="preserve">               -     </w:t>
            </w:r>
          </w:p>
        </w:tc>
        <w:tc>
          <w:tcPr>
            <w:tcW w:w="1540" w:type="dxa"/>
            <w:tcBorders>
              <w:top w:val="nil"/>
              <w:left w:val="nil"/>
              <w:bottom w:val="single" w:sz="4" w:space="0" w:color="auto"/>
              <w:right w:val="single" w:sz="4" w:space="0" w:color="auto"/>
            </w:tcBorders>
            <w:noWrap/>
            <w:vAlign w:val="bottom"/>
          </w:tcPr>
          <w:p w:rsidR="00087CF4" w:rsidRPr="004A220F" w:rsidRDefault="00087CF4" w:rsidP="004A220F">
            <w:pPr>
              <w:spacing w:after="0" w:line="240" w:lineRule="auto"/>
              <w:jc w:val="center"/>
              <w:rPr>
                <w:rFonts w:ascii="Arial" w:hAnsi="Arial" w:cs="Arial"/>
                <w:color w:val="000000"/>
                <w:sz w:val="18"/>
                <w:szCs w:val="18"/>
                <w:lang w:eastAsia="sl-SI"/>
              </w:rPr>
            </w:pPr>
            <w:r w:rsidRPr="004A220F">
              <w:rPr>
                <w:rFonts w:ascii="Arial" w:hAnsi="Arial" w:cs="Arial"/>
                <w:color w:val="000000"/>
                <w:sz w:val="18"/>
                <w:szCs w:val="18"/>
                <w:lang w:eastAsia="sl-SI"/>
              </w:rPr>
              <w:t xml:space="preserve">                          -     </w:t>
            </w:r>
          </w:p>
        </w:tc>
        <w:tc>
          <w:tcPr>
            <w:tcW w:w="1460" w:type="dxa"/>
            <w:tcBorders>
              <w:top w:val="nil"/>
              <w:left w:val="nil"/>
              <w:bottom w:val="single" w:sz="4" w:space="0" w:color="auto"/>
              <w:right w:val="single" w:sz="4" w:space="0" w:color="auto"/>
            </w:tcBorders>
            <w:noWrap/>
            <w:vAlign w:val="bottom"/>
          </w:tcPr>
          <w:p w:rsidR="00087CF4" w:rsidRPr="004A220F" w:rsidRDefault="00087CF4" w:rsidP="004A220F">
            <w:pPr>
              <w:spacing w:after="0" w:line="240" w:lineRule="auto"/>
              <w:jc w:val="center"/>
              <w:rPr>
                <w:rFonts w:ascii="Arial" w:hAnsi="Arial" w:cs="Arial"/>
                <w:color w:val="000000"/>
                <w:sz w:val="18"/>
                <w:szCs w:val="18"/>
                <w:lang w:eastAsia="sl-SI"/>
              </w:rPr>
            </w:pPr>
            <w:r w:rsidRPr="004A220F">
              <w:rPr>
                <w:rFonts w:ascii="Arial" w:hAnsi="Arial" w:cs="Arial"/>
                <w:color w:val="000000"/>
                <w:sz w:val="18"/>
                <w:szCs w:val="18"/>
                <w:lang w:eastAsia="sl-SI"/>
              </w:rPr>
              <w:t xml:space="preserve">                        -     </w:t>
            </w:r>
          </w:p>
        </w:tc>
      </w:tr>
      <w:tr w:rsidR="00087CF4" w:rsidRPr="002A2B2C" w:rsidTr="004A220F">
        <w:trPr>
          <w:trHeight w:val="300"/>
        </w:trPr>
        <w:tc>
          <w:tcPr>
            <w:tcW w:w="2460" w:type="dxa"/>
            <w:tcBorders>
              <w:top w:val="nil"/>
              <w:left w:val="single" w:sz="4" w:space="0" w:color="auto"/>
              <w:bottom w:val="single" w:sz="4" w:space="0" w:color="auto"/>
              <w:right w:val="nil"/>
            </w:tcBorders>
            <w:noWrap/>
            <w:vAlign w:val="bottom"/>
          </w:tcPr>
          <w:p w:rsidR="00087CF4" w:rsidRPr="004A220F" w:rsidRDefault="00087CF4" w:rsidP="004A220F">
            <w:pPr>
              <w:spacing w:after="0" w:line="240" w:lineRule="auto"/>
              <w:jc w:val="left"/>
              <w:rPr>
                <w:rFonts w:ascii="Arial" w:hAnsi="Arial" w:cs="Arial"/>
                <w:color w:val="000000"/>
                <w:sz w:val="18"/>
                <w:szCs w:val="18"/>
                <w:lang w:eastAsia="sl-SI"/>
              </w:rPr>
            </w:pPr>
            <w:r w:rsidRPr="004A220F">
              <w:rPr>
                <w:rFonts w:ascii="Arial" w:hAnsi="Arial" w:cs="Arial"/>
                <w:color w:val="000000"/>
                <w:sz w:val="18"/>
                <w:szCs w:val="18"/>
                <w:lang w:eastAsia="sl-SI"/>
              </w:rPr>
              <w:t>Vodomer  100 /= &lt; DN &lt; 150</w:t>
            </w:r>
          </w:p>
        </w:tc>
        <w:tc>
          <w:tcPr>
            <w:tcW w:w="1060" w:type="dxa"/>
            <w:tcBorders>
              <w:top w:val="nil"/>
              <w:left w:val="single" w:sz="4" w:space="0" w:color="auto"/>
              <w:bottom w:val="single" w:sz="4" w:space="0" w:color="auto"/>
              <w:right w:val="single" w:sz="4" w:space="0" w:color="auto"/>
            </w:tcBorders>
            <w:vAlign w:val="center"/>
          </w:tcPr>
          <w:p w:rsidR="00087CF4" w:rsidRPr="004A220F" w:rsidRDefault="00087CF4" w:rsidP="004A220F">
            <w:pPr>
              <w:spacing w:after="0" w:line="240" w:lineRule="auto"/>
              <w:jc w:val="center"/>
              <w:rPr>
                <w:rFonts w:ascii="Arial" w:hAnsi="Arial" w:cs="Arial"/>
                <w:sz w:val="18"/>
                <w:szCs w:val="18"/>
                <w:lang w:eastAsia="sl-SI"/>
              </w:rPr>
            </w:pPr>
            <w:r w:rsidRPr="004A220F">
              <w:rPr>
                <w:rFonts w:ascii="Arial" w:hAnsi="Arial" w:cs="Arial"/>
                <w:sz w:val="18"/>
                <w:szCs w:val="18"/>
                <w:lang w:eastAsia="sl-SI"/>
              </w:rPr>
              <w:t>0</w:t>
            </w:r>
          </w:p>
        </w:tc>
        <w:tc>
          <w:tcPr>
            <w:tcW w:w="1240" w:type="dxa"/>
            <w:tcBorders>
              <w:top w:val="nil"/>
              <w:left w:val="nil"/>
              <w:bottom w:val="single" w:sz="4" w:space="0" w:color="auto"/>
              <w:right w:val="single" w:sz="4" w:space="0" w:color="auto"/>
            </w:tcBorders>
            <w:noWrap/>
            <w:vAlign w:val="bottom"/>
          </w:tcPr>
          <w:p w:rsidR="00087CF4" w:rsidRPr="004A220F" w:rsidRDefault="00087CF4" w:rsidP="004A220F">
            <w:pPr>
              <w:spacing w:after="0" w:line="240" w:lineRule="auto"/>
              <w:jc w:val="center"/>
              <w:rPr>
                <w:rFonts w:ascii="Arial" w:hAnsi="Arial" w:cs="Arial"/>
                <w:color w:val="000000"/>
                <w:sz w:val="18"/>
                <w:szCs w:val="18"/>
                <w:lang w:eastAsia="sl-SI"/>
              </w:rPr>
            </w:pPr>
            <w:r w:rsidRPr="004A220F">
              <w:rPr>
                <w:rFonts w:ascii="Arial" w:hAnsi="Arial" w:cs="Arial"/>
                <w:color w:val="000000"/>
                <w:sz w:val="18"/>
                <w:szCs w:val="18"/>
                <w:lang w:eastAsia="sl-SI"/>
              </w:rPr>
              <w:t>100</w:t>
            </w:r>
          </w:p>
        </w:tc>
        <w:tc>
          <w:tcPr>
            <w:tcW w:w="1240" w:type="dxa"/>
            <w:tcBorders>
              <w:top w:val="nil"/>
              <w:left w:val="nil"/>
              <w:bottom w:val="single" w:sz="4" w:space="0" w:color="auto"/>
              <w:right w:val="single" w:sz="4" w:space="0" w:color="auto"/>
            </w:tcBorders>
            <w:noWrap/>
            <w:vAlign w:val="bottom"/>
          </w:tcPr>
          <w:p w:rsidR="00087CF4" w:rsidRPr="004A220F" w:rsidRDefault="00087CF4" w:rsidP="004A220F">
            <w:pPr>
              <w:spacing w:after="0" w:line="240" w:lineRule="auto"/>
              <w:jc w:val="center"/>
              <w:rPr>
                <w:rFonts w:ascii="Arial" w:hAnsi="Arial" w:cs="Arial"/>
                <w:color w:val="000000"/>
                <w:sz w:val="18"/>
                <w:szCs w:val="18"/>
                <w:lang w:eastAsia="sl-SI"/>
              </w:rPr>
            </w:pPr>
            <w:r w:rsidRPr="004A220F">
              <w:rPr>
                <w:rFonts w:ascii="Arial" w:hAnsi="Arial" w:cs="Arial"/>
                <w:color w:val="000000"/>
                <w:sz w:val="18"/>
                <w:szCs w:val="18"/>
                <w:lang w:eastAsia="sl-SI"/>
              </w:rPr>
              <w:t>0</w:t>
            </w:r>
          </w:p>
        </w:tc>
        <w:tc>
          <w:tcPr>
            <w:tcW w:w="1060" w:type="dxa"/>
            <w:tcBorders>
              <w:top w:val="nil"/>
              <w:left w:val="nil"/>
              <w:bottom w:val="single" w:sz="4" w:space="0" w:color="auto"/>
              <w:right w:val="single" w:sz="4" w:space="0" w:color="auto"/>
            </w:tcBorders>
            <w:noWrap/>
            <w:vAlign w:val="bottom"/>
          </w:tcPr>
          <w:p w:rsidR="00087CF4" w:rsidRPr="004A220F" w:rsidRDefault="00087CF4" w:rsidP="004A220F">
            <w:pPr>
              <w:spacing w:after="0" w:line="240" w:lineRule="auto"/>
              <w:jc w:val="center"/>
              <w:rPr>
                <w:rFonts w:ascii="Arial" w:hAnsi="Arial" w:cs="Arial"/>
                <w:color w:val="000000"/>
                <w:sz w:val="18"/>
                <w:szCs w:val="18"/>
                <w:lang w:eastAsia="sl-SI"/>
              </w:rPr>
            </w:pPr>
            <w:r w:rsidRPr="004A220F">
              <w:rPr>
                <w:rFonts w:ascii="Arial" w:hAnsi="Arial" w:cs="Arial"/>
                <w:color w:val="000000"/>
                <w:sz w:val="18"/>
                <w:szCs w:val="18"/>
                <w:lang w:eastAsia="sl-SI"/>
              </w:rPr>
              <w:t xml:space="preserve">               -     </w:t>
            </w:r>
          </w:p>
        </w:tc>
        <w:tc>
          <w:tcPr>
            <w:tcW w:w="1540" w:type="dxa"/>
            <w:tcBorders>
              <w:top w:val="nil"/>
              <w:left w:val="nil"/>
              <w:bottom w:val="single" w:sz="4" w:space="0" w:color="auto"/>
              <w:right w:val="single" w:sz="4" w:space="0" w:color="auto"/>
            </w:tcBorders>
            <w:noWrap/>
            <w:vAlign w:val="bottom"/>
          </w:tcPr>
          <w:p w:rsidR="00087CF4" w:rsidRPr="004A220F" w:rsidRDefault="00087CF4" w:rsidP="004A220F">
            <w:pPr>
              <w:spacing w:after="0" w:line="240" w:lineRule="auto"/>
              <w:jc w:val="center"/>
              <w:rPr>
                <w:rFonts w:ascii="Arial" w:hAnsi="Arial" w:cs="Arial"/>
                <w:color w:val="000000"/>
                <w:sz w:val="18"/>
                <w:szCs w:val="18"/>
                <w:lang w:eastAsia="sl-SI"/>
              </w:rPr>
            </w:pPr>
            <w:r w:rsidRPr="004A220F">
              <w:rPr>
                <w:rFonts w:ascii="Arial" w:hAnsi="Arial" w:cs="Arial"/>
                <w:color w:val="000000"/>
                <w:sz w:val="18"/>
                <w:szCs w:val="18"/>
                <w:lang w:eastAsia="sl-SI"/>
              </w:rPr>
              <w:t xml:space="preserve"> - </w:t>
            </w:r>
          </w:p>
        </w:tc>
        <w:tc>
          <w:tcPr>
            <w:tcW w:w="1460" w:type="dxa"/>
            <w:tcBorders>
              <w:top w:val="nil"/>
              <w:left w:val="nil"/>
              <w:bottom w:val="single" w:sz="4" w:space="0" w:color="auto"/>
              <w:right w:val="single" w:sz="4" w:space="0" w:color="auto"/>
            </w:tcBorders>
            <w:noWrap/>
            <w:vAlign w:val="bottom"/>
          </w:tcPr>
          <w:p w:rsidR="00087CF4" w:rsidRPr="004A220F" w:rsidRDefault="00087CF4" w:rsidP="004A220F">
            <w:pPr>
              <w:spacing w:after="0" w:line="240" w:lineRule="auto"/>
              <w:jc w:val="center"/>
              <w:rPr>
                <w:rFonts w:ascii="Arial" w:hAnsi="Arial" w:cs="Arial"/>
                <w:color w:val="000000"/>
                <w:sz w:val="18"/>
                <w:szCs w:val="18"/>
                <w:lang w:eastAsia="sl-SI"/>
              </w:rPr>
            </w:pPr>
            <w:r w:rsidRPr="004A220F">
              <w:rPr>
                <w:rFonts w:ascii="Arial" w:hAnsi="Arial" w:cs="Arial"/>
                <w:color w:val="000000"/>
                <w:sz w:val="18"/>
                <w:szCs w:val="18"/>
                <w:lang w:eastAsia="sl-SI"/>
              </w:rPr>
              <w:t xml:space="preserve"> - </w:t>
            </w:r>
          </w:p>
        </w:tc>
      </w:tr>
      <w:tr w:rsidR="00087CF4" w:rsidRPr="002A2B2C" w:rsidTr="004A220F">
        <w:trPr>
          <w:trHeight w:val="300"/>
        </w:trPr>
        <w:tc>
          <w:tcPr>
            <w:tcW w:w="2460" w:type="dxa"/>
            <w:tcBorders>
              <w:top w:val="nil"/>
              <w:left w:val="single" w:sz="4" w:space="0" w:color="auto"/>
              <w:bottom w:val="single" w:sz="4" w:space="0" w:color="auto"/>
              <w:right w:val="nil"/>
            </w:tcBorders>
            <w:noWrap/>
            <w:vAlign w:val="bottom"/>
          </w:tcPr>
          <w:p w:rsidR="00087CF4" w:rsidRPr="004A220F" w:rsidRDefault="00087CF4" w:rsidP="004A220F">
            <w:pPr>
              <w:spacing w:after="0" w:line="240" w:lineRule="auto"/>
              <w:jc w:val="left"/>
              <w:rPr>
                <w:rFonts w:ascii="Arial" w:hAnsi="Arial" w:cs="Arial"/>
                <w:color w:val="000000"/>
                <w:sz w:val="18"/>
                <w:szCs w:val="18"/>
                <w:lang w:eastAsia="sl-SI"/>
              </w:rPr>
            </w:pPr>
            <w:r w:rsidRPr="004A220F">
              <w:rPr>
                <w:rFonts w:ascii="Arial" w:hAnsi="Arial" w:cs="Arial"/>
                <w:color w:val="000000"/>
                <w:sz w:val="18"/>
                <w:szCs w:val="18"/>
                <w:lang w:eastAsia="sl-SI"/>
              </w:rPr>
              <w:t>Vodomer  150 &lt;/= 150</w:t>
            </w:r>
          </w:p>
        </w:tc>
        <w:tc>
          <w:tcPr>
            <w:tcW w:w="1060" w:type="dxa"/>
            <w:tcBorders>
              <w:top w:val="nil"/>
              <w:left w:val="single" w:sz="4" w:space="0" w:color="auto"/>
              <w:bottom w:val="single" w:sz="4" w:space="0" w:color="auto"/>
              <w:right w:val="single" w:sz="4" w:space="0" w:color="auto"/>
            </w:tcBorders>
            <w:vAlign w:val="center"/>
          </w:tcPr>
          <w:p w:rsidR="00087CF4" w:rsidRPr="004A220F" w:rsidRDefault="00087CF4" w:rsidP="004A220F">
            <w:pPr>
              <w:spacing w:after="0" w:line="240" w:lineRule="auto"/>
              <w:jc w:val="center"/>
              <w:rPr>
                <w:rFonts w:ascii="Arial" w:hAnsi="Arial" w:cs="Arial"/>
                <w:sz w:val="18"/>
                <w:szCs w:val="18"/>
                <w:lang w:eastAsia="sl-SI"/>
              </w:rPr>
            </w:pPr>
            <w:r w:rsidRPr="004A220F">
              <w:rPr>
                <w:rFonts w:ascii="Arial" w:hAnsi="Arial" w:cs="Arial"/>
                <w:sz w:val="18"/>
                <w:szCs w:val="18"/>
                <w:lang w:eastAsia="sl-SI"/>
              </w:rPr>
              <w:t>0</w:t>
            </w:r>
          </w:p>
        </w:tc>
        <w:tc>
          <w:tcPr>
            <w:tcW w:w="1240" w:type="dxa"/>
            <w:tcBorders>
              <w:top w:val="nil"/>
              <w:left w:val="nil"/>
              <w:bottom w:val="single" w:sz="4" w:space="0" w:color="auto"/>
              <w:right w:val="single" w:sz="4" w:space="0" w:color="auto"/>
            </w:tcBorders>
            <w:noWrap/>
            <w:vAlign w:val="bottom"/>
          </w:tcPr>
          <w:p w:rsidR="00087CF4" w:rsidRPr="004A220F" w:rsidRDefault="00087CF4" w:rsidP="004A220F">
            <w:pPr>
              <w:spacing w:after="0" w:line="240" w:lineRule="auto"/>
              <w:jc w:val="center"/>
              <w:rPr>
                <w:rFonts w:ascii="Arial" w:hAnsi="Arial" w:cs="Arial"/>
                <w:color w:val="000000"/>
                <w:sz w:val="18"/>
                <w:szCs w:val="18"/>
                <w:lang w:eastAsia="sl-SI"/>
              </w:rPr>
            </w:pPr>
            <w:r w:rsidRPr="004A220F">
              <w:rPr>
                <w:rFonts w:ascii="Arial" w:hAnsi="Arial" w:cs="Arial"/>
                <w:color w:val="000000"/>
                <w:sz w:val="18"/>
                <w:szCs w:val="18"/>
                <w:lang w:eastAsia="sl-SI"/>
              </w:rPr>
              <w:t>200</w:t>
            </w:r>
          </w:p>
        </w:tc>
        <w:tc>
          <w:tcPr>
            <w:tcW w:w="1240" w:type="dxa"/>
            <w:tcBorders>
              <w:top w:val="nil"/>
              <w:left w:val="nil"/>
              <w:bottom w:val="single" w:sz="4" w:space="0" w:color="auto"/>
              <w:right w:val="single" w:sz="4" w:space="0" w:color="auto"/>
            </w:tcBorders>
            <w:noWrap/>
            <w:vAlign w:val="bottom"/>
          </w:tcPr>
          <w:p w:rsidR="00087CF4" w:rsidRPr="004A220F" w:rsidRDefault="00087CF4" w:rsidP="004A220F">
            <w:pPr>
              <w:spacing w:after="0" w:line="240" w:lineRule="auto"/>
              <w:jc w:val="center"/>
              <w:rPr>
                <w:rFonts w:ascii="Arial" w:hAnsi="Arial" w:cs="Arial"/>
                <w:color w:val="000000"/>
                <w:sz w:val="18"/>
                <w:szCs w:val="18"/>
                <w:lang w:eastAsia="sl-SI"/>
              </w:rPr>
            </w:pPr>
            <w:r w:rsidRPr="004A220F">
              <w:rPr>
                <w:rFonts w:ascii="Arial" w:hAnsi="Arial" w:cs="Arial"/>
                <w:color w:val="000000"/>
                <w:sz w:val="18"/>
                <w:szCs w:val="18"/>
                <w:lang w:eastAsia="sl-SI"/>
              </w:rPr>
              <w:t>0</w:t>
            </w:r>
          </w:p>
        </w:tc>
        <w:tc>
          <w:tcPr>
            <w:tcW w:w="1060" w:type="dxa"/>
            <w:tcBorders>
              <w:top w:val="nil"/>
              <w:left w:val="nil"/>
              <w:bottom w:val="single" w:sz="4" w:space="0" w:color="auto"/>
              <w:right w:val="single" w:sz="4" w:space="0" w:color="auto"/>
            </w:tcBorders>
            <w:noWrap/>
            <w:vAlign w:val="bottom"/>
          </w:tcPr>
          <w:p w:rsidR="00087CF4" w:rsidRPr="004A220F" w:rsidRDefault="00087CF4" w:rsidP="004A220F">
            <w:pPr>
              <w:spacing w:after="0" w:line="240" w:lineRule="auto"/>
              <w:jc w:val="center"/>
              <w:rPr>
                <w:rFonts w:ascii="Arial" w:hAnsi="Arial" w:cs="Arial"/>
                <w:color w:val="000000"/>
                <w:sz w:val="18"/>
                <w:szCs w:val="18"/>
                <w:lang w:eastAsia="sl-SI"/>
              </w:rPr>
            </w:pPr>
            <w:r w:rsidRPr="004A220F">
              <w:rPr>
                <w:rFonts w:ascii="Arial" w:hAnsi="Arial" w:cs="Arial"/>
                <w:color w:val="000000"/>
                <w:sz w:val="18"/>
                <w:szCs w:val="18"/>
                <w:lang w:eastAsia="sl-SI"/>
              </w:rPr>
              <w:t xml:space="preserve">               -     </w:t>
            </w:r>
          </w:p>
        </w:tc>
        <w:tc>
          <w:tcPr>
            <w:tcW w:w="1540" w:type="dxa"/>
            <w:tcBorders>
              <w:top w:val="nil"/>
              <w:left w:val="nil"/>
              <w:bottom w:val="single" w:sz="4" w:space="0" w:color="auto"/>
              <w:right w:val="single" w:sz="4" w:space="0" w:color="auto"/>
            </w:tcBorders>
            <w:noWrap/>
            <w:vAlign w:val="bottom"/>
          </w:tcPr>
          <w:p w:rsidR="00087CF4" w:rsidRPr="004A220F" w:rsidRDefault="00087CF4" w:rsidP="004A220F">
            <w:pPr>
              <w:spacing w:after="0" w:line="240" w:lineRule="auto"/>
              <w:jc w:val="center"/>
              <w:rPr>
                <w:rFonts w:ascii="Arial" w:hAnsi="Arial" w:cs="Arial"/>
                <w:color w:val="000000"/>
                <w:sz w:val="18"/>
                <w:szCs w:val="18"/>
                <w:lang w:eastAsia="sl-SI"/>
              </w:rPr>
            </w:pPr>
            <w:r w:rsidRPr="004A220F">
              <w:rPr>
                <w:rFonts w:ascii="Arial" w:hAnsi="Arial" w:cs="Arial"/>
                <w:color w:val="000000"/>
                <w:sz w:val="18"/>
                <w:szCs w:val="18"/>
                <w:lang w:eastAsia="sl-SI"/>
              </w:rPr>
              <w:t xml:space="preserve">                          -     </w:t>
            </w:r>
          </w:p>
        </w:tc>
        <w:tc>
          <w:tcPr>
            <w:tcW w:w="1460" w:type="dxa"/>
            <w:tcBorders>
              <w:top w:val="nil"/>
              <w:left w:val="nil"/>
              <w:bottom w:val="single" w:sz="4" w:space="0" w:color="auto"/>
              <w:right w:val="single" w:sz="4" w:space="0" w:color="auto"/>
            </w:tcBorders>
            <w:noWrap/>
            <w:vAlign w:val="bottom"/>
          </w:tcPr>
          <w:p w:rsidR="00087CF4" w:rsidRPr="004A220F" w:rsidRDefault="00087CF4" w:rsidP="004A220F">
            <w:pPr>
              <w:spacing w:after="0" w:line="240" w:lineRule="auto"/>
              <w:jc w:val="center"/>
              <w:rPr>
                <w:rFonts w:ascii="Arial" w:hAnsi="Arial" w:cs="Arial"/>
                <w:color w:val="000000"/>
                <w:sz w:val="18"/>
                <w:szCs w:val="18"/>
                <w:lang w:eastAsia="sl-SI"/>
              </w:rPr>
            </w:pPr>
            <w:r w:rsidRPr="004A220F">
              <w:rPr>
                <w:rFonts w:ascii="Arial" w:hAnsi="Arial" w:cs="Arial"/>
                <w:color w:val="000000"/>
                <w:sz w:val="18"/>
                <w:szCs w:val="18"/>
                <w:lang w:eastAsia="sl-SI"/>
              </w:rPr>
              <w:t xml:space="preserve">                        -     </w:t>
            </w:r>
          </w:p>
        </w:tc>
      </w:tr>
      <w:tr w:rsidR="00087CF4" w:rsidRPr="002A2B2C" w:rsidTr="004A220F">
        <w:trPr>
          <w:trHeight w:val="300"/>
        </w:trPr>
        <w:tc>
          <w:tcPr>
            <w:tcW w:w="2460" w:type="dxa"/>
            <w:tcBorders>
              <w:top w:val="nil"/>
              <w:left w:val="single" w:sz="4" w:space="0" w:color="auto"/>
              <w:bottom w:val="single" w:sz="4" w:space="0" w:color="auto"/>
              <w:right w:val="single" w:sz="4" w:space="0" w:color="auto"/>
            </w:tcBorders>
            <w:noWrap/>
            <w:vAlign w:val="bottom"/>
          </w:tcPr>
          <w:p w:rsidR="00087CF4" w:rsidRPr="004A220F" w:rsidRDefault="00087CF4" w:rsidP="004A220F">
            <w:pPr>
              <w:spacing w:after="0" w:line="240" w:lineRule="auto"/>
              <w:jc w:val="left"/>
              <w:rPr>
                <w:rFonts w:ascii="Arial" w:hAnsi="Arial" w:cs="Arial"/>
                <w:color w:val="000000"/>
                <w:sz w:val="18"/>
                <w:szCs w:val="18"/>
                <w:lang w:eastAsia="sl-SI"/>
              </w:rPr>
            </w:pPr>
            <w:r w:rsidRPr="004A220F">
              <w:rPr>
                <w:rFonts w:ascii="Arial" w:hAnsi="Arial" w:cs="Arial"/>
                <w:color w:val="000000"/>
                <w:sz w:val="18"/>
                <w:szCs w:val="18"/>
                <w:lang w:eastAsia="sl-SI"/>
              </w:rPr>
              <w:t> </w:t>
            </w:r>
          </w:p>
        </w:tc>
        <w:tc>
          <w:tcPr>
            <w:tcW w:w="1060" w:type="dxa"/>
            <w:tcBorders>
              <w:top w:val="nil"/>
              <w:left w:val="nil"/>
              <w:bottom w:val="single" w:sz="4" w:space="0" w:color="auto"/>
              <w:right w:val="single" w:sz="4" w:space="0" w:color="auto"/>
            </w:tcBorders>
            <w:noWrap/>
            <w:vAlign w:val="bottom"/>
          </w:tcPr>
          <w:p w:rsidR="00087CF4" w:rsidRPr="004A220F" w:rsidRDefault="00087CF4" w:rsidP="004A220F">
            <w:pPr>
              <w:spacing w:after="0" w:line="240" w:lineRule="auto"/>
              <w:jc w:val="center"/>
              <w:rPr>
                <w:rFonts w:ascii="Arial" w:hAnsi="Arial" w:cs="Arial"/>
                <w:sz w:val="18"/>
                <w:szCs w:val="18"/>
                <w:lang w:eastAsia="sl-SI"/>
              </w:rPr>
            </w:pPr>
            <w:r w:rsidRPr="004A220F">
              <w:rPr>
                <w:rFonts w:ascii="Arial" w:hAnsi="Arial" w:cs="Arial"/>
                <w:sz w:val="18"/>
                <w:szCs w:val="18"/>
                <w:lang w:eastAsia="sl-SI"/>
              </w:rPr>
              <w:t> </w:t>
            </w:r>
          </w:p>
        </w:tc>
        <w:tc>
          <w:tcPr>
            <w:tcW w:w="1240" w:type="dxa"/>
            <w:tcBorders>
              <w:top w:val="nil"/>
              <w:left w:val="nil"/>
              <w:bottom w:val="single" w:sz="4" w:space="0" w:color="auto"/>
              <w:right w:val="single" w:sz="4" w:space="0" w:color="auto"/>
            </w:tcBorders>
            <w:noWrap/>
            <w:vAlign w:val="bottom"/>
          </w:tcPr>
          <w:p w:rsidR="00087CF4" w:rsidRPr="004A220F" w:rsidRDefault="00087CF4" w:rsidP="004A220F">
            <w:pPr>
              <w:spacing w:after="0" w:line="240" w:lineRule="auto"/>
              <w:jc w:val="left"/>
              <w:rPr>
                <w:rFonts w:ascii="Arial" w:hAnsi="Arial" w:cs="Arial"/>
                <w:color w:val="000000"/>
                <w:sz w:val="18"/>
                <w:szCs w:val="18"/>
                <w:lang w:eastAsia="sl-SI"/>
              </w:rPr>
            </w:pPr>
            <w:r w:rsidRPr="004A220F">
              <w:rPr>
                <w:rFonts w:ascii="Arial" w:hAnsi="Arial" w:cs="Arial"/>
                <w:color w:val="000000"/>
                <w:sz w:val="18"/>
                <w:szCs w:val="18"/>
                <w:lang w:eastAsia="sl-SI"/>
              </w:rPr>
              <w:t> </w:t>
            </w:r>
          </w:p>
        </w:tc>
        <w:tc>
          <w:tcPr>
            <w:tcW w:w="1240" w:type="dxa"/>
            <w:tcBorders>
              <w:top w:val="nil"/>
              <w:left w:val="nil"/>
              <w:bottom w:val="single" w:sz="4" w:space="0" w:color="auto"/>
              <w:right w:val="single" w:sz="4" w:space="0" w:color="auto"/>
            </w:tcBorders>
            <w:noWrap/>
            <w:vAlign w:val="bottom"/>
          </w:tcPr>
          <w:p w:rsidR="00087CF4" w:rsidRPr="004A220F" w:rsidRDefault="00087CF4" w:rsidP="004A220F">
            <w:pPr>
              <w:spacing w:after="0" w:line="240" w:lineRule="auto"/>
              <w:jc w:val="left"/>
              <w:rPr>
                <w:rFonts w:ascii="Arial" w:hAnsi="Arial" w:cs="Arial"/>
                <w:color w:val="000000"/>
                <w:sz w:val="18"/>
                <w:szCs w:val="18"/>
                <w:lang w:eastAsia="sl-SI"/>
              </w:rPr>
            </w:pPr>
            <w:r w:rsidRPr="004A220F">
              <w:rPr>
                <w:rFonts w:ascii="Arial" w:hAnsi="Arial" w:cs="Arial"/>
                <w:color w:val="000000"/>
                <w:sz w:val="18"/>
                <w:szCs w:val="18"/>
                <w:lang w:eastAsia="sl-SI"/>
              </w:rPr>
              <w:t> </w:t>
            </w:r>
          </w:p>
        </w:tc>
        <w:tc>
          <w:tcPr>
            <w:tcW w:w="1060" w:type="dxa"/>
            <w:tcBorders>
              <w:top w:val="nil"/>
              <w:left w:val="nil"/>
              <w:bottom w:val="single" w:sz="4" w:space="0" w:color="auto"/>
              <w:right w:val="single" w:sz="4" w:space="0" w:color="auto"/>
            </w:tcBorders>
            <w:noWrap/>
            <w:vAlign w:val="bottom"/>
          </w:tcPr>
          <w:p w:rsidR="00087CF4" w:rsidRPr="004A220F" w:rsidRDefault="00087CF4" w:rsidP="004A220F">
            <w:pPr>
              <w:spacing w:after="0" w:line="240" w:lineRule="auto"/>
              <w:jc w:val="center"/>
              <w:rPr>
                <w:rFonts w:ascii="Arial" w:hAnsi="Arial" w:cs="Arial"/>
                <w:color w:val="000000"/>
                <w:sz w:val="18"/>
                <w:szCs w:val="18"/>
                <w:lang w:eastAsia="sl-SI"/>
              </w:rPr>
            </w:pPr>
            <w:r w:rsidRPr="004A220F">
              <w:rPr>
                <w:rFonts w:ascii="Arial" w:hAnsi="Arial" w:cs="Arial"/>
                <w:color w:val="000000"/>
                <w:sz w:val="18"/>
                <w:szCs w:val="18"/>
                <w:lang w:eastAsia="sl-SI"/>
              </w:rPr>
              <w:t> </w:t>
            </w:r>
          </w:p>
        </w:tc>
        <w:tc>
          <w:tcPr>
            <w:tcW w:w="1540" w:type="dxa"/>
            <w:tcBorders>
              <w:top w:val="nil"/>
              <w:left w:val="nil"/>
              <w:bottom w:val="single" w:sz="4" w:space="0" w:color="auto"/>
              <w:right w:val="single" w:sz="4" w:space="0" w:color="auto"/>
            </w:tcBorders>
            <w:noWrap/>
            <w:vAlign w:val="bottom"/>
          </w:tcPr>
          <w:p w:rsidR="00087CF4" w:rsidRPr="004A220F" w:rsidRDefault="00087CF4" w:rsidP="004A220F">
            <w:pPr>
              <w:spacing w:after="0" w:line="240" w:lineRule="auto"/>
              <w:jc w:val="center"/>
              <w:rPr>
                <w:rFonts w:ascii="Arial" w:hAnsi="Arial" w:cs="Arial"/>
                <w:color w:val="000000"/>
                <w:sz w:val="18"/>
                <w:szCs w:val="18"/>
                <w:lang w:eastAsia="sl-SI"/>
              </w:rPr>
            </w:pPr>
            <w:r w:rsidRPr="004A220F">
              <w:rPr>
                <w:rFonts w:ascii="Arial" w:hAnsi="Arial" w:cs="Arial"/>
                <w:color w:val="000000"/>
                <w:sz w:val="18"/>
                <w:szCs w:val="18"/>
                <w:lang w:eastAsia="sl-SI"/>
              </w:rPr>
              <w:t> </w:t>
            </w:r>
          </w:p>
        </w:tc>
        <w:tc>
          <w:tcPr>
            <w:tcW w:w="1460" w:type="dxa"/>
            <w:tcBorders>
              <w:top w:val="nil"/>
              <w:left w:val="nil"/>
              <w:bottom w:val="single" w:sz="4" w:space="0" w:color="auto"/>
              <w:right w:val="single" w:sz="4" w:space="0" w:color="auto"/>
            </w:tcBorders>
            <w:noWrap/>
            <w:vAlign w:val="bottom"/>
          </w:tcPr>
          <w:p w:rsidR="00087CF4" w:rsidRPr="004A220F" w:rsidRDefault="00087CF4" w:rsidP="004A220F">
            <w:pPr>
              <w:spacing w:after="0" w:line="240" w:lineRule="auto"/>
              <w:jc w:val="center"/>
              <w:rPr>
                <w:rFonts w:ascii="Arial" w:hAnsi="Arial" w:cs="Arial"/>
                <w:color w:val="000000"/>
                <w:sz w:val="18"/>
                <w:szCs w:val="18"/>
                <w:lang w:eastAsia="sl-SI"/>
              </w:rPr>
            </w:pPr>
            <w:r w:rsidRPr="004A220F">
              <w:rPr>
                <w:rFonts w:ascii="Arial" w:hAnsi="Arial" w:cs="Arial"/>
                <w:color w:val="000000"/>
                <w:sz w:val="18"/>
                <w:szCs w:val="18"/>
                <w:lang w:eastAsia="sl-SI"/>
              </w:rPr>
              <w:t> </w:t>
            </w:r>
          </w:p>
        </w:tc>
      </w:tr>
      <w:tr w:rsidR="00087CF4" w:rsidRPr="002A2B2C" w:rsidTr="004A220F">
        <w:trPr>
          <w:trHeight w:val="300"/>
        </w:trPr>
        <w:tc>
          <w:tcPr>
            <w:tcW w:w="2460" w:type="dxa"/>
            <w:tcBorders>
              <w:top w:val="nil"/>
              <w:left w:val="single" w:sz="4" w:space="0" w:color="auto"/>
              <w:bottom w:val="single" w:sz="4" w:space="0" w:color="auto"/>
              <w:right w:val="single" w:sz="4" w:space="0" w:color="auto"/>
            </w:tcBorders>
            <w:noWrap/>
            <w:vAlign w:val="bottom"/>
          </w:tcPr>
          <w:p w:rsidR="00087CF4" w:rsidRPr="004A220F" w:rsidRDefault="00087CF4" w:rsidP="004A220F">
            <w:pPr>
              <w:spacing w:after="0" w:line="240" w:lineRule="auto"/>
              <w:jc w:val="left"/>
              <w:rPr>
                <w:rFonts w:ascii="Arial" w:hAnsi="Arial" w:cs="Arial"/>
                <w:color w:val="000000"/>
                <w:sz w:val="18"/>
                <w:szCs w:val="18"/>
                <w:lang w:eastAsia="sl-SI"/>
              </w:rPr>
            </w:pPr>
            <w:r w:rsidRPr="004A220F">
              <w:rPr>
                <w:rFonts w:ascii="Arial" w:hAnsi="Arial" w:cs="Arial"/>
                <w:color w:val="000000"/>
                <w:sz w:val="18"/>
                <w:szCs w:val="18"/>
                <w:lang w:eastAsia="sl-SI"/>
              </w:rPr>
              <w:t>Skupaj</w:t>
            </w:r>
          </w:p>
        </w:tc>
        <w:tc>
          <w:tcPr>
            <w:tcW w:w="1060" w:type="dxa"/>
            <w:tcBorders>
              <w:top w:val="nil"/>
              <w:left w:val="nil"/>
              <w:bottom w:val="single" w:sz="4" w:space="0" w:color="auto"/>
              <w:right w:val="single" w:sz="4" w:space="0" w:color="auto"/>
            </w:tcBorders>
            <w:noWrap/>
            <w:vAlign w:val="bottom"/>
          </w:tcPr>
          <w:p w:rsidR="00087CF4" w:rsidRPr="004A220F" w:rsidRDefault="00087CF4" w:rsidP="004A220F">
            <w:pPr>
              <w:spacing w:after="0" w:line="240" w:lineRule="auto"/>
              <w:jc w:val="center"/>
              <w:rPr>
                <w:rFonts w:ascii="Arial" w:hAnsi="Arial" w:cs="Arial"/>
                <w:sz w:val="18"/>
                <w:szCs w:val="18"/>
                <w:lang w:eastAsia="sl-SI"/>
              </w:rPr>
            </w:pPr>
            <w:r w:rsidRPr="004A220F">
              <w:rPr>
                <w:rFonts w:ascii="Arial" w:hAnsi="Arial" w:cs="Arial"/>
                <w:sz w:val="18"/>
                <w:szCs w:val="18"/>
                <w:lang w:eastAsia="sl-SI"/>
              </w:rPr>
              <w:t>768</w:t>
            </w:r>
          </w:p>
        </w:tc>
        <w:tc>
          <w:tcPr>
            <w:tcW w:w="1240" w:type="dxa"/>
            <w:tcBorders>
              <w:top w:val="nil"/>
              <w:left w:val="nil"/>
              <w:bottom w:val="single" w:sz="4" w:space="0" w:color="auto"/>
              <w:right w:val="single" w:sz="4" w:space="0" w:color="auto"/>
            </w:tcBorders>
            <w:noWrap/>
            <w:vAlign w:val="bottom"/>
          </w:tcPr>
          <w:p w:rsidR="00087CF4" w:rsidRPr="004A220F" w:rsidRDefault="00087CF4" w:rsidP="004A220F">
            <w:pPr>
              <w:spacing w:after="0" w:line="240" w:lineRule="auto"/>
              <w:jc w:val="left"/>
              <w:rPr>
                <w:rFonts w:ascii="Arial" w:hAnsi="Arial" w:cs="Arial"/>
                <w:color w:val="000000"/>
                <w:sz w:val="18"/>
                <w:szCs w:val="18"/>
                <w:lang w:eastAsia="sl-SI"/>
              </w:rPr>
            </w:pPr>
            <w:r w:rsidRPr="004A220F">
              <w:rPr>
                <w:rFonts w:ascii="Arial" w:hAnsi="Arial" w:cs="Arial"/>
                <w:color w:val="000000"/>
                <w:sz w:val="18"/>
                <w:szCs w:val="18"/>
                <w:lang w:eastAsia="sl-SI"/>
              </w:rPr>
              <w:t> </w:t>
            </w:r>
          </w:p>
        </w:tc>
        <w:tc>
          <w:tcPr>
            <w:tcW w:w="1240" w:type="dxa"/>
            <w:tcBorders>
              <w:top w:val="nil"/>
              <w:left w:val="nil"/>
              <w:bottom w:val="single" w:sz="4" w:space="0" w:color="auto"/>
              <w:right w:val="single" w:sz="4" w:space="0" w:color="auto"/>
            </w:tcBorders>
            <w:noWrap/>
            <w:vAlign w:val="bottom"/>
          </w:tcPr>
          <w:p w:rsidR="00087CF4" w:rsidRPr="004A220F" w:rsidRDefault="00087CF4" w:rsidP="004A220F">
            <w:pPr>
              <w:spacing w:after="0" w:line="240" w:lineRule="auto"/>
              <w:jc w:val="right"/>
              <w:rPr>
                <w:rFonts w:ascii="Arial" w:hAnsi="Arial" w:cs="Arial"/>
                <w:color w:val="000000"/>
                <w:sz w:val="18"/>
                <w:szCs w:val="18"/>
                <w:lang w:eastAsia="sl-SI"/>
              </w:rPr>
            </w:pPr>
            <w:r w:rsidRPr="004A220F">
              <w:rPr>
                <w:rFonts w:ascii="Arial" w:hAnsi="Arial" w:cs="Arial"/>
                <w:color w:val="000000"/>
                <w:sz w:val="18"/>
                <w:szCs w:val="18"/>
                <w:lang w:eastAsia="sl-SI"/>
              </w:rPr>
              <w:t>837</w:t>
            </w:r>
          </w:p>
        </w:tc>
        <w:tc>
          <w:tcPr>
            <w:tcW w:w="1060" w:type="dxa"/>
            <w:tcBorders>
              <w:top w:val="nil"/>
              <w:left w:val="nil"/>
              <w:bottom w:val="single" w:sz="4" w:space="0" w:color="auto"/>
              <w:right w:val="single" w:sz="4" w:space="0" w:color="auto"/>
            </w:tcBorders>
            <w:noWrap/>
            <w:vAlign w:val="bottom"/>
          </w:tcPr>
          <w:p w:rsidR="00087CF4" w:rsidRPr="004A220F" w:rsidRDefault="00087CF4" w:rsidP="004A220F">
            <w:pPr>
              <w:spacing w:after="0" w:line="240" w:lineRule="auto"/>
              <w:jc w:val="center"/>
              <w:rPr>
                <w:rFonts w:ascii="Arial" w:hAnsi="Arial" w:cs="Arial"/>
                <w:color w:val="000000"/>
                <w:sz w:val="18"/>
                <w:szCs w:val="18"/>
                <w:lang w:eastAsia="sl-SI"/>
              </w:rPr>
            </w:pPr>
            <w:r w:rsidRPr="004A220F">
              <w:rPr>
                <w:rFonts w:ascii="Arial" w:hAnsi="Arial" w:cs="Arial"/>
                <w:color w:val="000000"/>
                <w:sz w:val="18"/>
                <w:szCs w:val="18"/>
                <w:lang w:eastAsia="sl-SI"/>
              </w:rPr>
              <w:t xml:space="preserve">           4,86   </w:t>
            </w:r>
          </w:p>
        </w:tc>
        <w:tc>
          <w:tcPr>
            <w:tcW w:w="1540" w:type="dxa"/>
            <w:tcBorders>
              <w:top w:val="nil"/>
              <w:left w:val="nil"/>
              <w:bottom w:val="single" w:sz="4" w:space="0" w:color="auto"/>
              <w:right w:val="single" w:sz="4" w:space="0" w:color="auto"/>
            </w:tcBorders>
            <w:noWrap/>
            <w:vAlign w:val="bottom"/>
          </w:tcPr>
          <w:p w:rsidR="00087CF4" w:rsidRPr="004A220F" w:rsidRDefault="00087CF4" w:rsidP="004A220F">
            <w:pPr>
              <w:spacing w:after="0" w:line="240" w:lineRule="auto"/>
              <w:jc w:val="center"/>
              <w:rPr>
                <w:rFonts w:ascii="Arial" w:hAnsi="Arial" w:cs="Arial"/>
                <w:color w:val="000000"/>
                <w:sz w:val="18"/>
                <w:szCs w:val="18"/>
                <w:lang w:eastAsia="sl-SI"/>
              </w:rPr>
            </w:pPr>
            <w:r w:rsidRPr="004A220F">
              <w:rPr>
                <w:rFonts w:ascii="Arial" w:hAnsi="Arial" w:cs="Arial"/>
                <w:color w:val="000000"/>
                <w:sz w:val="18"/>
                <w:szCs w:val="18"/>
                <w:lang w:eastAsia="sl-SI"/>
              </w:rPr>
              <w:t xml:space="preserve">                          -     </w:t>
            </w:r>
          </w:p>
        </w:tc>
        <w:tc>
          <w:tcPr>
            <w:tcW w:w="1460" w:type="dxa"/>
            <w:tcBorders>
              <w:top w:val="nil"/>
              <w:left w:val="nil"/>
              <w:bottom w:val="single" w:sz="4" w:space="0" w:color="auto"/>
              <w:right w:val="single" w:sz="4" w:space="0" w:color="auto"/>
            </w:tcBorders>
            <w:noWrap/>
            <w:vAlign w:val="bottom"/>
          </w:tcPr>
          <w:p w:rsidR="00087CF4" w:rsidRPr="004A220F" w:rsidRDefault="00087CF4" w:rsidP="004A220F">
            <w:pPr>
              <w:spacing w:after="0" w:line="240" w:lineRule="auto"/>
              <w:jc w:val="center"/>
              <w:rPr>
                <w:rFonts w:ascii="Arial" w:hAnsi="Arial" w:cs="Arial"/>
                <w:color w:val="000000"/>
                <w:sz w:val="18"/>
                <w:szCs w:val="18"/>
                <w:lang w:eastAsia="sl-SI"/>
              </w:rPr>
            </w:pPr>
            <w:r w:rsidRPr="004A220F">
              <w:rPr>
                <w:rFonts w:ascii="Arial" w:hAnsi="Arial" w:cs="Arial"/>
                <w:color w:val="000000"/>
                <w:sz w:val="18"/>
                <w:szCs w:val="18"/>
                <w:lang w:eastAsia="sl-SI"/>
              </w:rPr>
              <w:t> </w:t>
            </w:r>
          </w:p>
        </w:tc>
      </w:tr>
      <w:tr w:rsidR="00087CF4" w:rsidRPr="002A2B2C" w:rsidTr="004A220F">
        <w:trPr>
          <w:trHeight w:val="300"/>
        </w:trPr>
        <w:tc>
          <w:tcPr>
            <w:tcW w:w="2460" w:type="dxa"/>
            <w:tcBorders>
              <w:top w:val="nil"/>
              <w:left w:val="nil"/>
              <w:bottom w:val="nil"/>
              <w:right w:val="nil"/>
            </w:tcBorders>
            <w:noWrap/>
            <w:vAlign w:val="bottom"/>
          </w:tcPr>
          <w:p w:rsidR="00087CF4" w:rsidRPr="004A220F" w:rsidRDefault="00087CF4" w:rsidP="004A220F">
            <w:pPr>
              <w:spacing w:after="0" w:line="240" w:lineRule="auto"/>
              <w:jc w:val="left"/>
              <w:rPr>
                <w:rFonts w:ascii="Arial" w:hAnsi="Arial" w:cs="Arial"/>
                <w:color w:val="000000"/>
                <w:sz w:val="18"/>
                <w:szCs w:val="18"/>
                <w:lang w:eastAsia="sl-SI"/>
              </w:rPr>
            </w:pPr>
          </w:p>
        </w:tc>
        <w:tc>
          <w:tcPr>
            <w:tcW w:w="1060" w:type="dxa"/>
            <w:tcBorders>
              <w:top w:val="nil"/>
              <w:left w:val="nil"/>
              <w:bottom w:val="nil"/>
              <w:right w:val="nil"/>
            </w:tcBorders>
            <w:noWrap/>
            <w:vAlign w:val="bottom"/>
          </w:tcPr>
          <w:p w:rsidR="00087CF4" w:rsidRPr="004A220F" w:rsidRDefault="00087CF4" w:rsidP="004A220F">
            <w:pPr>
              <w:spacing w:after="0" w:line="240" w:lineRule="auto"/>
              <w:jc w:val="center"/>
              <w:rPr>
                <w:rFonts w:ascii="Arial" w:hAnsi="Arial" w:cs="Arial"/>
                <w:color w:val="FF0000"/>
                <w:sz w:val="18"/>
                <w:szCs w:val="18"/>
                <w:lang w:eastAsia="sl-SI"/>
              </w:rPr>
            </w:pPr>
          </w:p>
        </w:tc>
        <w:tc>
          <w:tcPr>
            <w:tcW w:w="1240" w:type="dxa"/>
            <w:tcBorders>
              <w:top w:val="nil"/>
              <w:left w:val="nil"/>
              <w:bottom w:val="nil"/>
              <w:right w:val="nil"/>
            </w:tcBorders>
            <w:noWrap/>
            <w:vAlign w:val="bottom"/>
          </w:tcPr>
          <w:p w:rsidR="00087CF4" w:rsidRPr="004A220F" w:rsidRDefault="00087CF4" w:rsidP="004A220F">
            <w:pPr>
              <w:spacing w:after="0" w:line="240" w:lineRule="auto"/>
              <w:jc w:val="left"/>
              <w:rPr>
                <w:rFonts w:ascii="Arial" w:hAnsi="Arial" w:cs="Arial"/>
                <w:color w:val="000000"/>
                <w:sz w:val="18"/>
                <w:szCs w:val="18"/>
                <w:lang w:eastAsia="sl-SI"/>
              </w:rPr>
            </w:pPr>
          </w:p>
        </w:tc>
        <w:tc>
          <w:tcPr>
            <w:tcW w:w="1240" w:type="dxa"/>
            <w:tcBorders>
              <w:top w:val="nil"/>
              <w:left w:val="nil"/>
              <w:bottom w:val="nil"/>
              <w:right w:val="nil"/>
            </w:tcBorders>
            <w:noWrap/>
            <w:vAlign w:val="bottom"/>
          </w:tcPr>
          <w:p w:rsidR="00087CF4" w:rsidRPr="004A220F" w:rsidRDefault="00087CF4" w:rsidP="004A220F">
            <w:pPr>
              <w:spacing w:after="0" w:line="240" w:lineRule="auto"/>
              <w:jc w:val="left"/>
              <w:rPr>
                <w:rFonts w:ascii="Arial" w:hAnsi="Arial" w:cs="Arial"/>
                <w:color w:val="000000"/>
                <w:sz w:val="18"/>
                <w:szCs w:val="18"/>
                <w:lang w:eastAsia="sl-SI"/>
              </w:rPr>
            </w:pPr>
          </w:p>
        </w:tc>
        <w:tc>
          <w:tcPr>
            <w:tcW w:w="1060" w:type="dxa"/>
            <w:tcBorders>
              <w:top w:val="nil"/>
              <w:left w:val="nil"/>
              <w:bottom w:val="nil"/>
              <w:right w:val="nil"/>
            </w:tcBorders>
            <w:noWrap/>
            <w:vAlign w:val="bottom"/>
          </w:tcPr>
          <w:p w:rsidR="00087CF4" w:rsidRPr="004A220F" w:rsidRDefault="00087CF4" w:rsidP="004A220F">
            <w:pPr>
              <w:spacing w:after="0" w:line="240" w:lineRule="auto"/>
              <w:jc w:val="left"/>
              <w:rPr>
                <w:rFonts w:ascii="Arial" w:hAnsi="Arial" w:cs="Arial"/>
                <w:color w:val="000000"/>
                <w:sz w:val="18"/>
                <w:szCs w:val="18"/>
                <w:lang w:eastAsia="sl-SI"/>
              </w:rPr>
            </w:pPr>
          </w:p>
        </w:tc>
        <w:tc>
          <w:tcPr>
            <w:tcW w:w="1540" w:type="dxa"/>
            <w:tcBorders>
              <w:top w:val="nil"/>
              <w:left w:val="nil"/>
              <w:bottom w:val="nil"/>
              <w:right w:val="nil"/>
            </w:tcBorders>
            <w:noWrap/>
            <w:vAlign w:val="bottom"/>
          </w:tcPr>
          <w:p w:rsidR="00087CF4" w:rsidRPr="004A220F" w:rsidRDefault="00087CF4" w:rsidP="004A220F">
            <w:pPr>
              <w:spacing w:after="0" w:line="240" w:lineRule="auto"/>
              <w:jc w:val="left"/>
              <w:rPr>
                <w:rFonts w:ascii="Arial" w:hAnsi="Arial" w:cs="Arial"/>
                <w:color w:val="000000"/>
                <w:sz w:val="18"/>
                <w:szCs w:val="18"/>
                <w:lang w:eastAsia="sl-SI"/>
              </w:rPr>
            </w:pPr>
          </w:p>
        </w:tc>
        <w:tc>
          <w:tcPr>
            <w:tcW w:w="1460" w:type="dxa"/>
            <w:tcBorders>
              <w:top w:val="nil"/>
              <w:left w:val="nil"/>
              <w:bottom w:val="nil"/>
              <w:right w:val="nil"/>
            </w:tcBorders>
            <w:noWrap/>
            <w:vAlign w:val="bottom"/>
          </w:tcPr>
          <w:p w:rsidR="00087CF4" w:rsidRPr="004A220F" w:rsidRDefault="00087CF4" w:rsidP="004A220F">
            <w:pPr>
              <w:spacing w:after="0" w:line="240" w:lineRule="auto"/>
              <w:jc w:val="left"/>
              <w:rPr>
                <w:rFonts w:ascii="Arial" w:hAnsi="Arial" w:cs="Arial"/>
                <w:color w:val="000000"/>
                <w:sz w:val="18"/>
                <w:szCs w:val="18"/>
                <w:lang w:eastAsia="sl-SI"/>
              </w:rPr>
            </w:pPr>
          </w:p>
        </w:tc>
      </w:tr>
      <w:tr w:rsidR="00087CF4" w:rsidRPr="002A2B2C" w:rsidTr="004A220F">
        <w:trPr>
          <w:trHeight w:val="300"/>
        </w:trPr>
        <w:tc>
          <w:tcPr>
            <w:tcW w:w="2460" w:type="dxa"/>
            <w:tcBorders>
              <w:top w:val="nil"/>
              <w:left w:val="nil"/>
              <w:bottom w:val="nil"/>
              <w:right w:val="nil"/>
            </w:tcBorders>
            <w:noWrap/>
            <w:vAlign w:val="bottom"/>
          </w:tcPr>
          <w:p w:rsidR="00087CF4" w:rsidRPr="004A220F" w:rsidRDefault="00087CF4" w:rsidP="004A220F">
            <w:pPr>
              <w:spacing w:after="0" w:line="240" w:lineRule="auto"/>
              <w:jc w:val="left"/>
              <w:rPr>
                <w:rFonts w:ascii="Arial" w:hAnsi="Arial" w:cs="Arial"/>
                <w:b/>
                <w:bCs/>
                <w:color w:val="000000"/>
                <w:sz w:val="18"/>
                <w:szCs w:val="18"/>
                <w:lang w:eastAsia="sl-SI"/>
              </w:rPr>
            </w:pPr>
            <w:r w:rsidRPr="004A220F">
              <w:rPr>
                <w:rFonts w:ascii="Arial" w:hAnsi="Arial" w:cs="Arial"/>
                <w:b/>
                <w:bCs/>
                <w:color w:val="000000"/>
                <w:sz w:val="18"/>
                <w:szCs w:val="18"/>
                <w:lang w:eastAsia="sl-SI"/>
              </w:rPr>
              <w:t>Vrednost amortizacije</w:t>
            </w:r>
          </w:p>
        </w:tc>
        <w:tc>
          <w:tcPr>
            <w:tcW w:w="1060" w:type="dxa"/>
            <w:tcBorders>
              <w:top w:val="nil"/>
              <w:left w:val="nil"/>
              <w:bottom w:val="nil"/>
              <w:right w:val="nil"/>
            </w:tcBorders>
            <w:shd w:val="clear" w:color="000000" w:fill="FFFF00"/>
            <w:noWrap/>
            <w:vAlign w:val="bottom"/>
          </w:tcPr>
          <w:p w:rsidR="00087CF4" w:rsidRPr="004A220F" w:rsidRDefault="00087CF4" w:rsidP="004A220F">
            <w:pPr>
              <w:spacing w:after="0" w:line="240" w:lineRule="auto"/>
              <w:jc w:val="left"/>
              <w:rPr>
                <w:rFonts w:ascii="Arial" w:hAnsi="Arial" w:cs="Arial"/>
                <w:b/>
                <w:bCs/>
                <w:sz w:val="18"/>
                <w:szCs w:val="18"/>
                <w:lang w:eastAsia="sl-SI"/>
              </w:rPr>
            </w:pPr>
            <w:r w:rsidRPr="004A220F">
              <w:rPr>
                <w:rFonts w:ascii="Arial" w:hAnsi="Arial" w:cs="Arial"/>
                <w:b/>
                <w:bCs/>
                <w:sz w:val="18"/>
                <w:szCs w:val="18"/>
                <w:lang w:eastAsia="sl-SI"/>
              </w:rPr>
              <w:t xml:space="preserve">   4.065,60   </w:t>
            </w:r>
          </w:p>
        </w:tc>
        <w:tc>
          <w:tcPr>
            <w:tcW w:w="1240" w:type="dxa"/>
            <w:tcBorders>
              <w:top w:val="nil"/>
              <w:left w:val="nil"/>
              <w:bottom w:val="nil"/>
              <w:right w:val="nil"/>
            </w:tcBorders>
            <w:noWrap/>
            <w:vAlign w:val="bottom"/>
          </w:tcPr>
          <w:p w:rsidR="00087CF4" w:rsidRPr="004A220F" w:rsidRDefault="00087CF4" w:rsidP="004A220F">
            <w:pPr>
              <w:spacing w:after="0" w:line="240" w:lineRule="auto"/>
              <w:jc w:val="left"/>
              <w:rPr>
                <w:rFonts w:ascii="Arial" w:hAnsi="Arial" w:cs="Arial"/>
                <w:color w:val="000000"/>
                <w:sz w:val="18"/>
                <w:szCs w:val="18"/>
                <w:lang w:eastAsia="sl-SI"/>
              </w:rPr>
            </w:pPr>
          </w:p>
        </w:tc>
        <w:tc>
          <w:tcPr>
            <w:tcW w:w="1240" w:type="dxa"/>
            <w:tcBorders>
              <w:top w:val="nil"/>
              <w:left w:val="nil"/>
              <w:bottom w:val="nil"/>
              <w:right w:val="nil"/>
            </w:tcBorders>
            <w:noWrap/>
            <w:vAlign w:val="bottom"/>
          </w:tcPr>
          <w:p w:rsidR="00087CF4" w:rsidRPr="004A220F" w:rsidRDefault="00087CF4" w:rsidP="004A220F">
            <w:pPr>
              <w:spacing w:after="0" w:line="240" w:lineRule="auto"/>
              <w:jc w:val="left"/>
              <w:rPr>
                <w:rFonts w:ascii="Arial" w:hAnsi="Arial" w:cs="Arial"/>
                <w:color w:val="000000"/>
                <w:sz w:val="18"/>
                <w:szCs w:val="18"/>
                <w:lang w:eastAsia="sl-SI"/>
              </w:rPr>
            </w:pPr>
          </w:p>
        </w:tc>
        <w:tc>
          <w:tcPr>
            <w:tcW w:w="1060" w:type="dxa"/>
            <w:tcBorders>
              <w:top w:val="nil"/>
              <w:left w:val="nil"/>
              <w:bottom w:val="nil"/>
              <w:right w:val="nil"/>
            </w:tcBorders>
            <w:noWrap/>
            <w:vAlign w:val="bottom"/>
          </w:tcPr>
          <w:p w:rsidR="00087CF4" w:rsidRPr="004A220F" w:rsidRDefault="00087CF4" w:rsidP="004A220F">
            <w:pPr>
              <w:spacing w:after="0" w:line="240" w:lineRule="auto"/>
              <w:jc w:val="center"/>
              <w:rPr>
                <w:rFonts w:ascii="Arial" w:hAnsi="Arial" w:cs="Arial"/>
                <w:b/>
                <w:bCs/>
                <w:color w:val="000000"/>
                <w:sz w:val="18"/>
                <w:szCs w:val="18"/>
                <w:lang w:eastAsia="sl-SI"/>
              </w:rPr>
            </w:pPr>
            <w:r w:rsidRPr="004A220F">
              <w:rPr>
                <w:rFonts w:ascii="Arial" w:hAnsi="Arial" w:cs="Arial"/>
                <w:b/>
                <w:bCs/>
                <w:color w:val="000000"/>
                <w:sz w:val="18"/>
                <w:szCs w:val="18"/>
                <w:lang w:eastAsia="sl-SI"/>
              </w:rPr>
              <w:t>4.065,60</w:t>
            </w:r>
          </w:p>
        </w:tc>
        <w:tc>
          <w:tcPr>
            <w:tcW w:w="154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87CF4" w:rsidRPr="004A220F" w:rsidRDefault="00087CF4" w:rsidP="004A220F">
            <w:pPr>
              <w:spacing w:after="0" w:line="240" w:lineRule="auto"/>
              <w:jc w:val="left"/>
              <w:rPr>
                <w:rFonts w:ascii="Arial" w:hAnsi="Arial" w:cs="Arial"/>
                <w:color w:val="000000"/>
                <w:sz w:val="18"/>
                <w:szCs w:val="18"/>
                <w:lang w:eastAsia="sl-SI"/>
              </w:rPr>
            </w:pPr>
            <w:r w:rsidRPr="004A220F">
              <w:rPr>
                <w:rFonts w:ascii="Arial" w:hAnsi="Arial" w:cs="Arial"/>
                <w:color w:val="000000"/>
                <w:sz w:val="18"/>
                <w:szCs w:val="18"/>
                <w:lang w:eastAsia="sl-SI"/>
              </w:rPr>
              <w:t> </w:t>
            </w:r>
          </w:p>
        </w:tc>
        <w:tc>
          <w:tcPr>
            <w:tcW w:w="1460" w:type="dxa"/>
            <w:tcBorders>
              <w:top w:val="nil"/>
              <w:left w:val="nil"/>
              <w:bottom w:val="nil"/>
              <w:right w:val="nil"/>
            </w:tcBorders>
            <w:noWrap/>
            <w:vAlign w:val="bottom"/>
          </w:tcPr>
          <w:p w:rsidR="00087CF4" w:rsidRPr="004A220F" w:rsidRDefault="00087CF4" w:rsidP="004A220F">
            <w:pPr>
              <w:spacing w:after="0" w:line="240" w:lineRule="auto"/>
              <w:jc w:val="left"/>
              <w:rPr>
                <w:rFonts w:ascii="Arial" w:hAnsi="Arial" w:cs="Arial"/>
                <w:color w:val="000000"/>
                <w:sz w:val="18"/>
                <w:szCs w:val="18"/>
                <w:lang w:eastAsia="sl-SI"/>
              </w:rPr>
            </w:pPr>
          </w:p>
        </w:tc>
      </w:tr>
    </w:tbl>
    <w:p w:rsidR="00087CF4" w:rsidRDefault="00087CF4" w:rsidP="00295557"/>
    <w:p w:rsidR="00087CF4" w:rsidRDefault="00087CF4" w:rsidP="00295557"/>
    <w:p w:rsidR="00087CF4" w:rsidRDefault="00087CF4" w:rsidP="00F00A0F">
      <w:pPr>
        <w:pStyle w:val="Caption"/>
        <w:keepNext/>
      </w:pPr>
      <w:r>
        <w:t xml:space="preserve">Preglednica </w:t>
      </w:r>
      <w:fldSimple w:instr=" SEQ Preglednica \* ARABIC ">
        <w:r>
          <w:rPr>
            <w:noProof/>
          </w:rPr>
          <w:t>6</w:t>
        </w:r>
      </w:fldSimple>
      <w:r>
        <w:rPr>
          <w:noProof/>
        </w:rPr>
        <w:t>:</w:t>
      </w:r>
      <w:r>
        <w:t xml:space="preserve"> Predračunska cena čiščenja odpadne vode za leto 2016</w:t>
      </w:r>
    </w:p>
    <w:tbl>
      <w:tblPr>
        <w:tblW w:w="5399" w:type="dxa"/>
        <w:jc w:val="center"/>
        <w:tblInd w:w="55" w:type="dxa"/>
        <w:tblCellMar>
          <w:left w:w="70" w:type="dxa"/>
          <w:right w:w="70" w:type="dxa"/>
        </w:tblCellMar>
        <w:tblLook w:val="00A0"/>
      </w:tblPr>
      <w:tblGrid>
        <w:gridCol w:w="2972"/>
        <w:gridCol w:w="2427"/>
      </w:tblGrid>
      <w:tr w:rsidR="00087CF4" w:rsidRPr="002A2B2C" w:rsidTr="00DA287C">
        <w:trPr>
          <w:trHeight w:val="392"/>
          <w:jc w:val="center"/>
        </w:trPr>
        <w:tc>
          <w:tcPr>
            <w:tcW w:w="2972" w:type="dxa"/>
            <w:tcBorders>
              <w:top w:val="single" w:sz="8" w:space="0" w:color="auto"/>
              <w:left w:val="single" w:sz="8" w:space="0" w:color="auto"/>
              <w:bottom w:val="single" w:sz="8" w:space="0" w:color="auto"/>
              <w:right w:val="single" w:sz="4" w:space="0" w:color="auto"/>
            </w:tcBorders>
            <w:shd w:val="clear" w:color="000000" w:fill="4F81BD"/>
            <w:noWrap/>
            <w:vAlign w:val="bottom"/>
          </w:tcPr>
          <w:p w:rsidR="00087CF4" w:rsidRPr="0094569F" w:rsidRDefault="00087CF4" w:rsidP="00E34960">
            <w:pPr>
              <w:spacing w:after="0" w:line="240" w:lineRule="auto"/>
              <w:jc w:val="center"/>
              <w:rPr>
                <w:b/>
                <w:bCs/>
                <w:color w:val="000000"/>
                <w:lang w:eastAsia="sl-SI"/>
              </w:rPr>
            </w:pPr>
            <w:r w:rsidRPr="0094569F">
              <w:rPr>
                <w:b/>
                <w:bCs/>
                <w:color w:val="000000"/>
                <w:lang w:eastAsia="sl-SI"/>
              </w:rPr>
              <w:t>Izračun cene</w:t>
            </w:r>
            <w:r>
              <w:rPr>
                <w:b/>
                <w:bCs/>
                <w:color w:val="000000"/>
                <w:lang w:eastAsia="sl-SI"/>
              </w:rPr>
              <w:t xml:space="preserve"> odvajanja odpadne vode</w:t>
            </w:r>
          </w:p>
        </w:tc>
        <w:tc>
          <w:tcPr>
            <w:tcW w:w="2427" w:type="dxa"/>
            <w:tcBorders>
              <w:top w:val="single" w:sz="8" w:space="0" w:color="auto"/>
              <w:left w:val="nil"/>
              <w:bottom w:val="single" w:sz="8" w:space="0" w:color="auto"/>
              <w:right w:val="single" w:sz="8" w:space="0" w:color="auto"/>
            </w:tcBorders>
            <w:shd w:val="clear" w:color="000000" w:fill="4F81BD"/>
            <w:noWrap/>
            <w:vAlign w:val="bottom"/>
          </w:tcPr>
          <w:p w:rsidR="00087CF4" w:rsidRPr="0094569F" w:rsidRDefault="00087CF4" w:rsidP="0094569F">
            <w:pPr>
              <w:spacing w:after="0" w:line="240" w:lineRule="auto"/>
              <w:jc w:val="center"/>
              <w:rPr>
                <w:b/>
                <w:bCs/>
                <w:color w:val="000000"/>
                <w:lang w:eastAsia="sl-SI"/>
              </w:rPr>
            </w:pPr>
            <w:r w:rsidRPr="0094569F">
              <w:rPr>
                <w:b/>
                <w:bCs/>
                <w:color w:val="000000"/>
                <w:lang w:eastAsia="sl-SI"/>
              </w:rPr>
              <w:t xml:space="preserve">Predračun </w:t>
            </w:r>
            <w:r>
              <w:rPr>
                <w:b/>
                <w:bCs/>
                <w:color w:val="000000"/>
                <w:lang w:eastAsia="sl-SI"/>
              </w:rPr>
              <w:t>2016 (€/m3)</w:t>
            </w:r>
          </w:p>
        </w:tc>
      </w:tr>
      <w:tr w:rsidR="00087CF4" w:rsidRPr="002A2B2C" w:rsidTr="00DA287C">
        <w:trPr>
          <w:trHeight w:val="392"/>
          <w:jc w:val="center"/>
        </w:trPr>
        <w:tc>
          <w:tcPr>
            <w:tcW w:w="2972" w:type="dxa"/>
            <w:tcBorders>
              <w:top w:val="nil"/>
              <w:left w:val="single" w:sz="4" w:space="0" w:color="auto"/>
              <w:bottom w:val="single" w:sz="4" w:space="0" w:color="auto"/>
              <w:right w:val="single" w:sz="4" w:space="0" w:color="auto"/>
            </w:tcBorders>
            <w:noWrap/>
            <w:vAlign w:val="bottom"/>
          </w:tcPr>
          <w:p w:rsidR="00087CF4" w:rsidRPr="0094569F" w:rsidRDefault="00087CF4" w:rsidP="0094569F">
            <w:pPr>
              <w:spacing w:after="0" w:line="240" w:lineRule="auto"/>
              <w:jc w:val="left"/>
              <w:rPr>
                <w:color w:val="000000"/>
                <w:lang w:eastAsia="sl-SI"/>
              </w:rPr>
            </w:pPr>
            <w:r w:rsidRPr="0094569F">
              <w:rPr>
                <w:color w:val="000000"/>
                <w:lang w:eastAsia="sl-SI"/>
              </w:rPr>
              <w:t>Prodana voda (m3)</w:t>
            </w:r>
            <w:r>
              <w:rPr>
                <w:color w:val="000000"/>
                <w:lang w:eastAsia="sl-SI"/>
              </w:rPr>
              <w:t xml:space="preserve"> – odpadna voda - planirana</w:t>
            </w:r>
          </w:p>
        </w:tc>
        <w:tc>
          <w:tcPr>
            <w:tcW w:w="2427" w:type="dxa"/>
            <w:tcBorders>
              <w:top w:val="nil"/>
              <w:left w:val="nil"/>
              <w:bottom w:val="single" w:sz="4" w:space="0" w:color="auto"/>
              <w:right w:val="single" w:sz="4" w:space="0" w:color="auto"/>
            </w:tcBorders>
            <w:noWrap/>
            <w:vAlign w:val="bottom"/>
          </w:tcPr>
          <w:p w:rsidR="00087CF4" w:rsidRPr="0094569F" w:rsidRDefault="00087CF4" w:rsidP="0094569F">
            <w:pPr>
              <w:spacing w:after="0" w:line="240" w:lineRule="auto"/>
              <w:jc w:val="center"/>
              <w:rPr>
                <w:color w:val="000000"/>
                <w:lang w:eastAsia="sl-SI"/>
              </w:rPr>
            </w:pPr>
            <w:r>
              <w:rPr>
                <w:color w:val="000000"/>
                <w:lang w:eastAsia="sl-SI"/>
              </w:rPr>
              <w:t>100.000</w:t>
            </w:r>
          </w:p>
        </w:tc>
      </w:tr>
      <w:tr w:rsidR="00087CF4" w:rsidRPr="002A2B2C" w:rsidTr="00DA287C">
        <w:trPr>
          <w:trHeight w:val="392"/>
          <w:jc w:val="center"/>
        </w:trPr>
        <w:tc>
          <w:tcPr>
            <w:tcW w:w="2972" w:type="dxa"/>
            <w:tcBorders>
              <w:top w:val="nil"/>
              <w:left w:val="single" w:sz="4" w:space="0" w:color="auto"/>
              <w:bottom w:val="nil"/>
              <w:right w:val="single" w:sz="4" w:space="0" w:color="auto"/>
            </w:tcBorders>
            <w:noWrap/>
            <w:vAlign w:val="bottom"/>
          </w:tcPr>
          <w:p w:rsidR="00087CF4" w:rsidRPr="0094569F" w:rsidRDefault="00087CF4" w:rsidP="00E34960">
            <w:pPr>
              <w:spacing w:after="0" w:line="240" w:lineRule="auto"/>
              <w:jc w:val="left"/>
              <w:rPr>
                <w:color w:val="000000"/>
                <w:lang w:eastAsia="sl-SI"/>
              </w:rPr>
            </w:pPr>
            <w:r>
              <w:rPr>
                <w:color w:val="000000"/>
                <w:lang w:eastAsia="sl-SI"/>
              </w:rPr>
              <w:t>Čiščenje odpadne vode</w:t>
            </w:r>
            <w:r w:rsidRPr="0094569F">
              <w:rPr>
                <w:color w:val="000000"/>
                <w:lang w:eastAsia="sl-SI"/>
              </w:rPr>
              <w:t xml:space="preserve"> stroški </w:t>
            </w:r>
            <w:r>
              <w:rPr>
                <w:color w:val="000000"/>
                <w:lang w:eastAsia="sl-SI"/>
              </w:rPr>
              <w:t xml:space="preserve">2016 </w:t>
            </w:r>
            <w:r w:rsidRPr="0094569F">
              <w:rPr>
                <w:color w:val="000000"/>
                <w:lang w:eastAsia="sl-SI"/>
              </w:rPr>
              <w:t>(€)</w:t>
            </w:r>
          </w:p>
        </w:tc>
        <w:tc>
          <w:tcPr>
            <w:tcW w:w="2427" w:type="dxa"/>
            <w:tcBorders>
              <w:top w:val="nil"/>
              <w:left w:val="nil"/>
              <w:bottom w:val="nil"/>
              <w:right w:val="single" w:sz="4" w:space="0" w:color="auto"/>
            </w:tcBorders>
            <w:noWrap/>
            <w:vAlign w:val="bottom"/>
          </w:tcPr>
          <w:p w:rsidR="00087CF4" w:rsidRPr="0094569F" w:rsidRDefault="00087CF4" w:rsidP="0094569F">
            <w:pPr>
              <w:spacing w:after="0" w:line="240" w:lineRule="auto"/>
              <w:jc w:val="center"/>
              <w:rPr>
                <w:color w:val="000000"/>
                <w:lang w:eastAsia="sl-SI"/>
              </w:rPr>
            </w:pPr>
            <w:r>
              <w:rPr>
                <w:color w:val="000000"/>
                <w:lang w:eastAsia="sl-SI"/>
              </w:rPr>
              <w:t>46.847,09</w:t>
            </w:r>
          </w:p>
        </w:tc>
      </w:tr>
      <w:tr w:rsidR="00087CF4" w:rsidRPr="002A2B2C" w:rsidTr="00DA287C">
        <w:trPr>
          <w:trHeight w:val="392"/>
          <w:jc w:val="center"/>
        </w:trPr>
        <w:tc>
          <w:tcPr>
            <w:tcW w:w="2972" w:type="dxa"/>
            <w:tcBorders>
              <w:top w:val="single" w:sz="8" w:space="0" w:color="auto"/>
              <w:left w:val="single" w:sz="8" w:space="0" w:color="auto"/>
              <w:bottom w:val="single" w:sz="8" w:space="0" w:color="auto"/>
              <w:right w:val="single" w:sz="4" w:space="0" w:color="auto"/>
            </w:tcBorders>
            <w:noWrap/>
            <w:vAlign w:val="bottom"/>
          </w:tcPr>
          <w:p w:rsidR="00087CF4" w:rsidRPr="0094569F" w:rsidRDefault="00087CF4" w:rsidP="008335B7">
            <w:pPr>
              <w:spacing w:after="0" w:line="240" w:lineRule="auto"/>
              <w:jc w:val="left"/>
              <w:rPr>
                <w:color w:val="000000"/>
                <w:lang w:eastAsia="sl-SI"/>
              </w:rPr>
            </w:pPr>
            <w:r w:rsidRPr="0094569F">
              <w:rPr>
                <w:color w:val="000000"/>
                <w:lang w:eastAsia="sl-SI"/>
              </w:rPr>
              <w:t xml:space="preserve">Cena </w:t>
            </w:r>
            <w:r>
              <w:rPr>
                <w:color w:val="000000"/>
                <w:lang w:eastAsia="sl-SI"/>
              </w:rPr>
              <w:t>čiščenja</w:t>
            </w:r>
            <w:r w:rsidRPr="0094569F">
              <w:rPr>
                <w:color w:val="000000"/>
                <w:lang w:eastAsia="sl-SI"/>
              </w:rPr>
              <w:t xml:space="preserve"> (€/m3)</w:t>
            </w:r>
          </w:p>
        </w:tc>
        <w:tc>
          <w:tcPr>
            <w:tcW w:w="2427" w:type="dxa"/>
            <w:tcBorders>
              <w:top w:val="single" w:sz="8" w:space="0" w:color="auto"/>
              <w:left w:val="nil"/>
              <w:bottom w:val="single" w:sz="8" w:space="0" w:color="auto"/>
              <w:right w:val="single" w:sz="8" w:space="0" w:color="auto"/>
            </w:tcBorders>
            <w:noWrap/>
            <w:vAlign w:val="bottom"/>
          </w:tcPr>
          <w:p w:rsidR="00087CF4" w:rsidRPr="0094569F" w:rsidRDefault="00087CF4" w:rsidP="0094569F">
            <w:pPr>
              <w:spacing w:after="0" w:line="240" w:lineRule="auto"/>
              <w:jc w:val="center"/>
              <w:rPr>
                <w:color w:val="000000"/>
                <w:lang w:eastAsia="sl-SI"/>
              </w:rPr>
            </w:pPr>
            <w:r>
              <w:rPr>
                <w:color w:val="000000"/>
                <w:lang w:eastAsia="sl-SI"/>
              </w:rPr>
              <w:t>0,4685</w:t>
            </w:r>
          </w:p>
        </w:tc>
      </w:tr>
      <w:tr w:rsidR="00087CF4" w:rsidRPr="002A2B2C" w:rsidTr="00DA287C">
        <w:trPr>
          <w:trHeight w:val="392"/>
          <w:jc w:val="center"/>
        </w:trPr>
        <w:tc>
          <w:tcPr>
            <w:tcW w:w="2972" w:type="dxa"/>
            <w:tcBorders>
              <w:top w:val="single" w:sz="8" w:space="0" w:color="auto"/>
              <w:left w:val="single" w:sz="8" w:space="0" w:color="auto"/>
              <w:bottom w:val="single" w:sz="8" w:space="0" w:color="auto"/>
              <w:right w:val="single" w:sz="4" w:space="0" w:color="auto"/>
            </w:tcBorders>
            <w:noWrap/>
            <w:vAlign w:val="bottom"/>
          </w:tcPr>
          <w:p w:rsidR="00087CF4" w:rsidRPr="0094569F" w:rsidRDefault="00087CF4" w:rsidP="0094569F">
            <w:pPr>
              <w:spacing w:after="0" w:line="240" w:lineRule="auto"/>
              <w:jc w:val="left"/>
              <w:rPr>
                <w:color w:val="000000"/>
                <w:lang w:eastAsia="sl-SI"/>
              </w:rPr>
            </w:pPr>
            <w:r>
              <w:rPr>
                <w:color w:val="000000"/>
                <w:lang w:eastAsia="sl-SI"/>
              </w:rPr>
              <w:t>Poračun leta 2016</w:t>
            </w:r>
          </w:p>
        </w:tc>
        <w:tc>
          <w:tcPr>
            <w:tcW w:w="2427" w:type="dxa"/>
            <w:tcBorders>
              <w:top w:val="single" w:sz="8" w:space="0" w:color="auto"/>
              <w:left w:val="nil"/>
              <w:bottom w:val="single" w:sz="8" w:space="0" w:color="auto"/>
              <w:right w:val="single" w:sz="8" w:space="0" w:color="auto"/>
            </w:tcBorders>
            <w:noWrap/>
            <w:vAlign w:val="bottom"/>
          </w:tcPr>
          <w:p w:rsidR="00087CF4" w:rsidRDefault="00087CF4" w:rsidP="0094569F">
            <w:pPr>
              <w:spacing w:after="0" w:line="240" w:lineRule="auto"/>
              <w:jc w:val="center"/>
              <w:rPr>
                <w:color w:val="000000"/>
                <w:lang w:eastAsia="sl-SI"/>
              </w:rPr>
            </w:pPr>
            <w:r>
              <w:rPr>
                <w:color w:val="000000"/>
                <w:lang w:eastAsia="sl-SI"/>
              </w:rPr>
              <w:t>-0,0222</w:t>
            </w:r>
          </w:p>
        </w:tc>
      </w:tr>
      <w:tr w:rsidR="00087CF4" w:rsidRPr="002A2B2C" w:rsidTr="00DA287C">
        <w:trPr>
          <w:trHeight w:val="392"/>
          <w:jc w:val="center"/>
        </w:trPr>
        <w:tc>
          <w:tcPr>
            <w:tcW w:w="2972" w:type="dxa"/>
            <w:tcBorders>
              <w:top w:val="single" w:sz="8" w:space="0" w:color="auto"/>
              <w:left w:val="single" w:sz="8" w:space="0" w:color="auto"/>
              <w:bottom w:val="single" w:sz="8" w:space="0" w:color="auto"/>
              <w:right w:val="single" w:sz="4" w:space="0" w:color="auto"/>
            </w:tcBorders>
            <w:noWrap/>
            <w:vAlign w:val="bottom"/>
          </w:tcPr>
          <w:p w:rsidR="00087CF4" w:rsidRPr="006628CE" w:rsidRDefault="00087CF4" w:rsidP="008335B7">
            <w:pPr>
              <w:spacing w:after="0" w:line="240" w:lineRule="auto"/>
              <w:jc w:val="left"/>
              <w:rPr>
                <w:b/>
                <w:color w:val="000000"/>
                <w:lang w:eastAsia="sl-SI"/>
              </w:rPr>
            </w:pPr>
            <w:r w:rsidRPr="006628CE">
              <w:rPr>
                <w:b/>
                <w:color w:val="000000"/>
                <w:lang w:eastAsia="sl-SI"/>
              </w:rPr>
              <w:t xml:space="preserve">Končna cena storitve </w:t>
            </w:r>
            <w:r>
              <w:rPr>
                <w:b/>
                <w:color w:val="000000"/>
                <w:lang w:eastAsia="sl-SI"/>
              </w:rPr>
              <w:t>čiščenje komunalne odpadne vode</w:t>
            </w:r>
            <w:r w:rsidRPr="006628CE">
              <w:rPr>
                <w:b/>
                <w:color w:val="000000"/>
                <w:lang w:eastAsia="sl-SI"/>
              </w:rPr>
              <w:t xml:space="preserve"> brez DDV </w:t>
            </w:r>
            <w:r>
              <w:rPr>
                <w:b/>
                <w:color w:val="000000"/>
                <w:lang w:eastAsia="sl-SI"/>
              </w:rPr>
              <w:t xml:space="preserve">2016 </w:t>
            </w:r>
            <w:r w:rsidRPr="006628CE">
              <w:rPr>
                <w:b/>
                <w:color w:val="000000"/>
                <w:lang w:eastAsia="sl-SI"/>
              </w:rPr>
              <w:t>(€/m3)</w:t>
            </w:r>
          </w:p>
        </w:tc>
        <w:tc>
          <w:tcPr>
            <w:tcW w:w="2427" w:type="dxa"/>
            <w:tcBorders>
              <w:top w:val="single" w:sz="8" w:space="0" w:color="auto"/>
              <w:left w:val="nil"/>
              <w:bottom w:val="single" w:sz="8" w:space="0" w:color="auto"/>
              <w:right w:val="single" w:sz="8" w:space="0" w:color="auto"/>
            </w:tcBorders>
            <w:noWrap/>
            <w:vAlign w:val="bottom"/>
          </w:tcPr>
          <w:p w:rsidR="00087CF4" w:rsidRPr="006628CE" w:rsidRDefault="00087CF4" w:rsidP="0094569F">
            <w:pPr>
              <w:spacing w:after="0" w:line="240" w:lineRule="auto"/>
              <w:jc w:val="center"/>
              <w:rPr>
                <w:b/>
                <w:color w:val="000000"/>
                <w:lang w:eastAsia="sl-SI"/>
              </w:rPr>
            </w:pPr>
            <w:r>
              <w:rPr>
                <w:b/>
                <w:color w:val="000000"/>
                <w:lang w:eastAsia="sl-SI"/>
              </w:rPr>
              <w:t>0,4462</w:t>
            </w:r>
          </w:p>
        </w:tc>
      </w:tr>
      <w:tr w:rsidR="00087CF4" w:rsidRPr="002A2B2C" w:rsidTr="00DA287C">
        <w:trPr>
          <w:trHeight w:val="392"/>
          <w:jc w:val="center"/>
        </w:trPr>
        <w:tc>
          <w:tcPr>
            <w:tcW w:w="2972" w:type="dxa"/>
            <w:tcBorders>
              <w:top w:val="single" w:sz="8" w:space="0" w:color="auto"/>
              <w:left w:val="single" w:sz="8" w:space="0" w:color="auto"/>
              <w:bottom w:val="single" w:sz="8" w:space="0" w:color="auto"/>
              <w:right w:val="single" w:sz="4" w:space="0" w:color="auto"/>
            </w:tcBorders>
            <w:noWrap/>
            <w:vAlign w:val="bottom"/>
          </w:tcPr>
          <w:p w:rsidR="00087CF4" w:rsidRDefault="00087CF4" w:rsidP="0094569F">
            <w:pPr>
              <w:spacing w:after="0" w:line="240" w:lineRule="auto"/>
              <w:jc w:val="left"/>
              <w:rPr>
                <w:color w:val="000000"/>
                <w:lang w:eastAsia="sl-SI"/>
              </w:rPr>
            </w:pPr>
            <w:r>
              <w:rPr>
                <w:color w:val="000000"/>
                <w:lang w:eastAsia="sl-SI"/>
              </w:rPr>
              <w:t>Potrjena cena iz leta 2016</w:t>
            </w:r>
          </w:p>
        </w:tc>
        <w:tc>
          <w:tcPr>
            <w:tcW w:w="2427" w:type="dxa"/>
            <w:tcBorders>
              <w:top w:val="single" w:sz="8" w:space="0" w:color="auto"/>
              <w:left w:val="nil"/>
              <w:bottom w:val="single" w:sz="8" w:space="0" w:color="auto"/>
              <w:right w:val="single" w:sz="8" w:space="0" w:color="auto"/>
            </w:tcBorders>
            <w:noWrap/>
            <w:vAlign w:val="bottom"/>
          </w:tcPr>
          <w:p w:rsidR="00087CF4" w:rsidRPr="006628CE" w:rsidRDefault="00087CF4" w:rsidP="00031E3D">
            <w:pPr>
              <w:spacing w:after="0" w:line="240" w:lineRule="auto"/>
              <w:jc w:val="center"/>
              <w:rPr>
                <w:b/>
                <w:color w:val="000000"/>
                <w:lang w:eastAsia="sl-SI"/>
              </w:rPr>
            </w:pPr>
            <w:r>
              <w:rPr>
                <w:b/>
                <w:color w:val="000000"/>
                <w:lang w:eastAsia="sl-SI"/>
              </w:rPr>
              <w:t>0,4919 (9,29%)</w:t>
            </w:r>
          </w:p>
        </w:tc>
      </w:tr>
      <w:tr w:rsidR="00087CF4" w:rsidRPr="002A2B2C" w:rsidTr="00DA287C">
        <w:trPr>
          <w:trHeight w:val="392"/>
          <w:jc w:val="center"/>
        </w:trPr>
        <w:tc>
          <w:tcPr>
            <w:tcW w:w="2972" w:type="dxa"/>
            <w:tcBorders>
              <w:top w:val="single" w:sz="8" w:space="0" w:color="auto"/>
              <w:left w:val="single" w:sz="8" w:space="0" w:color="auto"/>
              <w:bottom w:val="single" w:sz="8" w:space="0" w:color="auto"/>
              <w:right w:val="single" w:sz="4" w:space="0" w:color="auto"/>
            </w:tcBorders>
            <w:noWrap/>
            <w:vAlign w:val="bottom"/>
          </w:tcPr>
          <w:p w:rsidR="00087CF4" w:rsidRPr="00AF44AF" w:rsidRDefault="00087CF4" w:rsidP="0094569F">
            <w:pPr>
              <w:spacing w:after="0" w:line="240" w:lineRule="auto"/>
              <w:jc w:val="left"/>
              <w:rPr>
                <w:b/>
                <w:color w:val="000000"/>
                <w:lang w:eastAsia="sl-SI"/>
              </w:rPr>
            </w:pPr>
            <w:r w:rsidRPr="00AF44AF">
              <w:rPr>
                <w:b/>
                <w:color w:val="000000"/>
                <w:lang w:eastAsia="sl-SI"/>
              </w:rPr>
              <w:t xml:space="preserve">Variabilna cena storitev za leto </w:t>
            </w:r>
            <w:r>
              <w:rPr>
                <w:b/>
                <w:color w:val="000000"/>
                <w:lang w:eastAsia="sl-SI"/>
              </w:rPr>
              <w:t>2016</w:t>
            </w:r>
            <w:r w:rsidRPr="00AF44AF">
              <w:rPr>
                <w:b/>
                <w:color w:val="000000"/>
                <w:lang w:eastAsia="sl-SI"/>
              </w:rPr>
              <w:t xml:space="preserve"> brez DDV</w:t>
            </w:r>
          </w:p>
        </w:tc>
        <w:tc>
          <w:tcPr>
            <w:tcW w:w="2427" w:type="dxa"/>
            <w:tcBorders>
              <w:top w:val="single" w:sz="8" w:space="0" w:color="auto"/>
              <w:left w:val="nil"/>
              <w:bottom w:val="single" w:sz="8" w:space="0" w:color="auto"/>
              <w:right w:val="single" w:sz="8" w:space="0" w:color="auto"/>
            </w:tcBorders>
            <w:noWrap/>
            <w:vAlign w:val="bottom"/>
          </w:tcPr>
          <w:p w:rsidR="00087CF4" w:rsidRDefault="00087CF4" w:rsidP="0094569F">
            <w:pPr>
              <w:spacing w:after="0" w:line="240" w:lineRule="auto"/>
              <w:jc w:val="center"/>
              <w:rPr>
                <w:b/>
                <w:color w:val="000000"/>
                <w:lang w:eastAsia="sl-SI"/>
              </w:rPr>
            </w:pPr>
            <w:r>
              <w:rPr>
                <w:b/>
                <w:color w:val="000000"/>
                <w:lang w:eastAsia="sl-SI"/>
              </w:rPr>
              <w:t>0,4919</w:t>
            </w:r>
          </w:p>
        </w:tc>
      </w:tr>
      <w:tr w:rsidR="00087CF4" w:rsidRPr="002A2B2C" w:rsidTr="00DA287C">
        <w:trPr>
          <w:trHeight w:val="392"/>
          <w:jc w:val="center"/>
        </w:trPr>
        <w:tc>
          <w:tcPr>
            <w:tcW w:w="2972" w:type="dxa"/>
            <w:tcBorders>
              <w:top w:val="single" w:sz="8" w:space="0" w:color="auto"/>
              <w:left w:val="single" w:sz="8" w:space="0" w:color="auto"/>
              <w:bottom w:val="single" w:sz="8" w:space="0" w:color="auto"/>
              <w:right w:val="single" w:sz="4" w:space="0" w:color="auto"/>
            </w:tcBorders>
            <w:noWrap/>
            <w:vAlign w:val="bottom"/>
          </w:tcPr>
          <w:p w:rsidR="00087CF4" w:rsidRPr="00AF44AF" w:rsidRDefault="00087CF4" w:rsidP="0094569F">
            <w:pPr>
              <w:spacing w:after="0" w:line="240" w:lineRule="auto"/>
              <w:jc w:val="left"/>
              <w:rPr>
                <w:b/>
                <w:color w:val="000000"/>
                <w:lang w:eastAsia="sl-SI"/>
              </w:rPr>
            </w:pPr>
            <w:r w:rsidRPr="00AF44AF">
              <w:rPr>
                <w:b/>
                <w:color w:val="000000"/>
                <w:lang w:eastAsia="sl-SI"/>
              </w:rPr>
              <w:t>Variabilna</w:t>
            </w:r>
            <w:r>
              <w:rPr>
                <w:b/>
                <w:color w:val="000000"/>
                <w:lang w:eastAsia="sl-SI"/>
              </w:rPr>
              <w:t xml:space="preserve"> cena storitev za leto 2016 z</w:t>
            </w:r>
            <w:r w:rsidRPr="00AF44AF">
              <w:rPr>
                <w:b/>
                <w:color w:val="000000"/>
                <w:lang w:eastAsia="sl-SI"/>
              </w:rPr>
              <w:t xml:space="preserve"> DDV</w:t>
            </w:r>
            <w:r>
              <w:rPr>
                <w:b/>
                <w:color w:val="000000"/>
                <w:lang w:eastAsia="sl-SI"/>
              </w:rPr>
              <w:t xml:space="preserve"> (9,5%) </w:t>
            </w:r>
          </w:p>
        </w:tc>
        <w:tc>
          <w:tcPr>
            <w:tcW w:w="2427" w:type="dxa"/>
            <w:tcBorders>
              <w:top w:val="single" w:sz="8" w:space="0" w:color="auto"/>
              <w:left w:val="nil"/>
              <w:bottom w:val="single" w:sz="8" w:space="0" w:color="auto"/>
              <w:right w:val="single" w:sz="8" w:space="0" w:color="auto"/>
            </w:tcBorders>
            <w:noWrap/>
            <w:vAlign w:val="bottom"/>
          </w:tcPr>
          <w:p w:rsidR="00087CF4" w:rsidRDefault="00087CF4" w:rsidP="0094569F">
            <w:pPr>
              <w:spacing w:after="0" w:line="240" w:lineRule="auto"/>
              <w:jc w:val="center"/>
              <w:rPr>
                <w:b/>
                <w:color w:val="000000"/>
                <w:lang w:eastAsia="sl-SI"/>
              </w:rPr>
            </w:pPr>
            <w:r>
              <w:rPr>
                <w:b/>
                <w:color w:val="000000"/>
                <w:lang w:eastAsia="sl-SI"/>
              </w:rPr>
              <w:t>0,5386</w:t>
            </w:r>
          </w:p>
        </w:tc>
      </w:tr>
    </w:tbl>
    <w:p w:rsidR="00087CF4" w:rsidRDefault="00087CF4" w:rsidP="00F00A0F"/>
    <w:p w:rsidR="00087CF4" w:rsidRDefault="00087CF4" w:rsidP="00F632F3">
      <w:pPr>
        <w:pStyle w:val="Caption"/>
        <w:keepNext/>
      </w:pPr>
      <w:r>
        <w:t xml:space="preserve">Preglednica </w:t>
      </w:r>
      <w:fldSimple w:instr=" SEQ Preglednica \* ARABIC ">
        <w:r>
          <w:rPr>
            <w:noProof/>
          </w:rPr>
          <w:t>7</w:t>
        </w:r>
      </w:fldSimple>
      <w:r>
        <w:t>: Primerjava cen leto 2015, 2016. Cene so prikazane v € brez DDV/m3</w:t>
      </w:r>
    </w:p>
    <w:tbl>
      <w:tblPr>
        <w:tblW w:w="9740" w:type="dxa"/>
        <w:tblInd w:w="55" w:type="dxa"/>
        <w:tblCellMar>
          <w:left w:w="70" w:type="dxa"/>
          <w:right w:w="70" w:type="dxa"/>
        </w:tblCellMar>
        <w:tblLook w:val="00A0"/>
      </w:tblPr>
      <w:tblGrid>
        <w:gridCol w:w="2280"/>
        <w:gridCol w:w="2700"/>
        <w:gridCol w:w="2620"/>
        <w:gridCol w:w="2140"/>
      </w:tblGrid>
      <w:tr w:rsidR="00087CF4" w:rsidRPr="002A2B2C" w:rsidTr="00DA287C">
        <w:trPr>
          <w:trHeight w:val="315"/>
        </w:trPr>
        <w:tc>
          <w:tcPr>
            <w:tcW w:w="2280" w:type="dxa"/>
            <w:tcBorders>
              <w:top w:val="single" w:sz="8" w:space="0" w:color="auto"/>
              <w:left w:val="single" w:sz="8" w:space="0" w:color="auto"/>
              <w:bottom w:val="single" w:sz="8" w:space="0" w:color="auto"/>
              <w:right w:val="single" w:sz="4" w:space="0" w:color="auto"/>
            </w:tcBorders>
            <w:noWrap/>
            <w:vAlign w:val="bottom"/>
          </w:tcPr>
          <w:p w:rsidR="00087CF4" w:rsidRPr="00DA287C" w:rsidRDefault="00087CF4" w:rsidP="00DA287C">
            <w:pPr>
              <w:spacing w:after="0" w:line="240" w:lineRule="auto"/>
              <w:jc w:val="left"/>
              <w:rPr>
                <w:color w:val="000000"/>
                <w:lang w:eastAsia="sl-SI"/>
              </w:rPr>
            </w:pPr>
            <w:r w:rsidRPr="00DA287C">
              <w:rPr>
                <w:color w:val="000000"/>
                <w:lang w:eastAsia="sl-SI"/>
              </w:rPr>
              <w:t> </w:t>
            </w:r>
          </w:p>
        </w:tc>
        <w:tc>
          <w:tcPr>
            <w:tcW w:w="2700" w:type="dxa"/>
            <w:tcBorders>
              <w:top w:val="single" w:sz="8" w:space="0" w:color="auto"/>
              <w:left w:val="nil"/>
              <w:bottom w:val="single" w:sz="8" w:space="0" w:color="auto"/>
              <w:right w:val="single" w:sz="4" w:space="0" w:color="auto"/>
            </w:tcBorders>
            <w:noWrap/>
            <w:vAlign w:val="bottom"/>
          </w:tcPr>
          <w:p w:rsidR="00087CF4" w:rsidRPr="00DA287C" w:rsidRDefault="00087CF4" w:rsidP="00813DD8">
            <w:pPr>
              <w:spacing w:after="0" w:line="240" w:lineRule="auto"/>
              <w:jc w:val="center"/>
              <w:rPr>
                <w:b/>
                <w:bCs/>
                <w:color w:val="000000"/>
                <w:lang w:eastAsia="sl-SI"/>
              </w:rPr>
            </w:pPr>
            <w:r>
              <w:rPr>
                <w:b/>
                <w:bCs/>
                <w:color w:val="000000"/>
                <w:lang w:eastAsia="sl-SI"/>
              </w:rPr>
              <w:t>Potrjena</w:t>
            </w:r>
            <w:r w:rsidRPr="00DA287C">
              <w:rPr>
                <w:b/>
                <w:bCs/>
                <w:color w:val="000000"/>
                <w:lang w:eastAsia="sl-SI"/>
              </w:rPr>
              <w:t xml:space="preserve"> cena </w:t>
            </w:r>
            <w:r>
              <w:rPr>
                <w:b/>
                <w:bCs/>
                <w:color w:val="000000"/>
                <w:lang w:eastAsia="sl-SI"/>
              </w:rPr>
              <w:t>2015</w:t>
            </w:r>
          </w:p>
        </w:tc>
        <w:tc>
          <w:tcPr>
            <w:tcW w:w="2620" w:type="dxa"/>
            <w:tcBorders>
              <w:top w:val="single" w:sz="8" w:space="0" w:color="auto"/>
              <w:left w:val="nil"/>
              <w:bottom w:val="single" w:sz="8" w:space="0" w:color="auto"/>
              <w:right w:val="single" w:sz="4" w:space="0" w:color="auto"/>
            </w:tcBorders>
            <w:noWrap/>
            <w:vAlign w:val="bottom"/>
          </w:tcPr>
          <w:p w:rsidR="00087CF4" w:rsidRPr="00DA287C" w:rsidRDefault="00087CF4" w:rsidP="00DA287C">
            <w:pPr>
              <w:spacing w:after="0" w:line="240" w:lineRule="auto"/>
              <w:jc w:val="center"/>
              <w:rPr>
                <w:b/>
                <w:bCs/>
                <w:color w:val="000000"/>
                <w:lang w:eastAsia="sl-SI"/>
              </w:rPr>
            </w:pPr>
            <w:r w:rsidRPr="00DA287C">
              <w:rPr>
                <w:b/>
                <w:bCs/>
                <w:color w:val="000000"/>
                <w:lang w:eastAsia="sl-SI"/>
              </w:rPr>
              <w:t xml:space="preserve">Predračunska cena </w:t>
            </w:r>
            <w:r>
              <w:rPr>
                <w:b/>
                <w:bCs/>
                <w:color w:val="000000"/>
                <w:lang w:eastAsia="sl-SI"/>
              </w:rPr>
              <w:t>2016</w:t>
            </w:r>
          </w:p>
        </w:tc>
        <w:tc>
          <w:tcPr>
            <w:tcW w:w="2140" w:type="dxa"/>
            <w:tcBorders>
              <w:top w:val="single" w:sz="8" w:space="0" w:color="auto"/>
              <w:left w:val="nil"/>
              <w:bottom w:val="single" w:sz="8" w:space="0" w:color="auto"/>
              <w:right w:val="single" w:sz="8" w:space="0" w:color="auto"/>
            </w:tcBorders>
            <w:noWrap/>
            <w:vAlign w:val="bottom"/>
          </w:tcPr>
          <w:p w:rsidR="00087CF4" w:rsidRPr="00DA287C" w:rsidRDefault="00087CF4" w:rsidP="00DA287C">
            <w:pPr>
              <w:spacing w:after="0" w:line="240" w:lineRule="auto"/>
              <w:jc w:val="center"/>
              <w:rPr>
                <w:b/>
                <w:bCs/>
                <w:color w:val="000000"/>
                <w:lang w:eastAsia="sl-SI"/>
              </w:rPr>
            </w:pPr>
            <w:r w:rsidRPr="00DA287C">
              <w:rPr>
                <w:b/>
                <w:bCs/>
                <w:color w:val="000000"/>
                <w:lang w:eastAsia="sl-SI"/>
              </w:rPr>
              <w:t>Razlika</w:t>
            </w:r>
          </w:p>
        </w:tc>
      </w:tr>
      <w:tr w:rsidR="00087CF4" w:rsidRPr="002A2B2C" w:rsidTr="00DA287C">
        <w:trPr>
          <w:trHeight w:val="300"/>
        </w:trPr>
        <w:tc>
          <w:tcPr>
            <w:tcW w:w="2280" w:type="dxa"/>
            <w:tcBorders>
              <w:top w:val="nil"/>
              <w:left w:val="single" w:sz="8" w:space="0" w:color="auto"/>
              <w:bottom w:val="single" w:sz="4" w:space="0" w:color="auto"/>
              <w:right w:val="single" w:sz="4" w:space="0" w:color="auto"/>
            </w:tcBorders>
            <w:noWrap/>
            <w:vAlign w:val="bottom"/>
          </w:tcPr>
          <w:p w:rsidR="00087CF4" w:rsidRPr="00DA287C" w:rsidRDefault="00087CF4" w:rsidP="00DA287C">
            <w:pPr>
              <w:spacing w:after="0" w:line="240" w:lineRule="auto"/>
              <w:jc w:val="left"/>
              <w:rPr>
                <w:color w:val="000000"/>
                <w:lang w:eastAsia="sl-SI"/>
              </w:rPr>
            </w:pPr>
            <w:r w:rsidRPr="00DA287C">
              <w:rPr>
                <w:color w:val="000000"/>
                <w:lang w:eastAsia="sl-SI"/>
              </w:rPr>
              <w:t>omrežnina DN 20</w:t>
            </w:r>
          </w:p>
        </w:tc>
        <w:tc>
          <w:tcPr>
            <w:tcW w:w="2700" w:type="dxa"/>
            <w:tcBorders>
              <w:top w:val="nil"/>
              <w:left w:val="nil"/>
              <w:bottom w:val="single" w:sz="4" w:space="0" w:color="auto"/>
              <w:right w:val="single" w:sz="4" w:space="0" w:color="auto"/>
            </w:tcBorders>
            <w:noWrap/>
            <w:vAlign w:val="bottom"/>
          </w:tcPr>
          <w:p w:rsidR="00087CF4" w:rsidRPr="00DA287C" w:rsidRDefault="00087CF4" w:rsidP="00031E3D">
            <w:pPr>
              <w:spacing w:after="0" w:line="240" w:lineRule="auto"/>
              <w:jc w:val="center"/>
              <w:rPr>
                <w:color w:val="000000"/>
                <w:lang w:eastAsia="sl-SI"/>
              </w:rPr>
            </w:pPr>
            <w:r>
              <w:rPr>
                <w:color w:val="000000"/>
                <w:lang w:eastAsia="sl-SI"/>
              </w:rPr>
              <w:t>0,4389</w:t>
            </w:r>
          </w:p>
        </w:tc>
        <w:tc>
          <w:tcPr>
            <w:tcW w:w="2620" w:type="dxa"/>
            <w:tcBorders>
              <w:top w:val="nil"/>
              <w:left w:val="nil"/>
              <w:bottom w:val="single" w:sz="4" w:space="0" w:color="auto"/>
              <w:right w:val="single" w:sz="4" w:space="0" w:color="auto"/>
            </w:tcBorders>
            <w:noWrap/>
            <w:vAlign w:val="bottom"/>
          </w:tcPr>
          <w:p w:rsidR="00087CF4" w:rsidRPr="00DA287C" w:rsidRDefault="00087CF4" w:rsidP="00C276A2">
            <w:pPr>
              <w:spacing w:after="0" w:line="240" w:lineRule="auto"/>
              <w:jc w:val="center"/>
              <w:rPr>
                <w:color w:val="000000"/>
                <w:lang w:eastAsia="sl-SI"/>
              </w:rPr>
            </w:pPr>
            <w:r>
              <w:rPr>
                <w:color w:val="000000"/>
                <w:lang w:eastAsia="sl-SI"/>
              </w:rPr>
              <w:t>0,4048</w:t>
            </w:r>
          </w:p>
        </w:tc>
        <w:tc>
          <w:tcPr>
            <w:tcW w:w="2140" w:type="dxa"/>
            <w:tcBorders>
              <w:top w:val="nil"/>
              <w:left w:val="nil"/>
              <w:bottom w:val="single" w:sz="4" w:space="0" w:color="auto"/>
              <w:right w:val="single" w:sz="8" w:space="0" w:color="auto"/>
            </w:tcBorders>
            <w:noWrap/>
            <w:vAlign w:val="bottom"/>
          </w:tcPr>
          <w:p w:rsidR="00087CF4" w:rsidRPr="00DA287C" w:rsidRDefault="00087CF4" w:rsidP="00C276A2">
            <w:pPr>
              <w:spacing w:after="0" w:line="240" w:lineRule="auto"/>
              <w:jc w:val="center"/>
              <w:rPr>
                <w:color w:val="000000"/>
                <w:lang w:eastAsia="sl-SI"/>
              </w:rPr>
            </w:pPr>
            <w:r>
              <w:rPr>
                <w:color w:val="000000"/>
                <w:lang w:eastAsia="sl-SI"/>
              </w:rPr>
              <w:t>-0,0341 (7,77%)</w:t>
            </w:r>
          </w:p>
        </w:tc>
      </w:tr>
      <w:tr w:rsidR="00087CF4" w:rsidRPr="002A2B2C" w:rsidTr="00DA287C">
        <w:trPr>
          <w:trHeight w:val="315"/>
        </w:trPr>
        <w:tc>
          <w:tcPr>
            <w:tcW w:w="2280" w:type="dxa"/>
            <w:tcBorders>
              <w:top w:val="nil"/>
              <w:left w:val="single" w:sz="8" w:space="0" w:color="auto"/>
              <w:bottom w:val="single" w:sz="8" w:space="0" w:color="auto"/>
              <w:right w:val="single" w:sz="4" w:space="0" w:color="auto"/>
            </w:tcBorders>
            <w:noWrap/>
            <w:vAlign w:val="bottom"/>
          </w:tcPr>
          <w:p w:rsidR="00087CF4" w:rsidRPr="00DA287C" w:rsidRDefault="00087CF4" w:rsidP="00DA287C">
            <w:pPr>
              <w:spacing w:after="0" w:line="240" w:lineRule="auto"/>
              <w:jc w:val="left"/>
              <w:rPr>
                <w:color w:val="000000"/>
                <w:lang w:eastAsia="sl-SI"/>
              </w:rPr>
            </w:pPr>
            <w:r w:rsidRPr="00DA287C">
              <w:rPr>
                <w:color w:val="000000"/>
                <w:lang w:eastAsia="sl-SI"/>
              </w:rPr>
              <w:t>variabilni del</w:t>
            </w:r>
          </w:p>
        </w:tc>
        <w:tc>
          <w:tcPr>
            <w:tcW w:w="2700" w:type="dxa"/>
            <w:tcBorders>
              <w:top w:val="nil"/>
              <w:left w:val="nil"/>
              <w:bottom w:val="single" w:sz="8" w:space="0" w:color="auto"/>
              <w:right w:val="single" w:sz="4" w:space="0" w:color="auto"/>
            </w:tcBorders>
            <w:noWrap/>
            <w:vAlign w:val="bottom"/>
          </w:tcPr>
          <w:p w:rsidR="00087CF4" w:rsidRPr="00DA287C" w:rsidRDefault="00087CF4" w:rsidP="00DA287C">
            <w:pPr>
              <w:spacing w:after="0" w:line="240" w:lineRule="auto"/>
              <w:jc w:val="center"/>
              <w:rPr>
                <w:color w:val="000000"/>
                <w:lang w:eastAsia="sl-SI"/>
              </w:rPr>
            </w:pPr>
            <w:r>
              <w:rPr>
                <w:color w:val="000000"/>
                <w:lang w:eastAsia="sl-SI"/>
              </w:rPr>
              <w:t>0,4919</w:t>
            </w:r>
          </w:p>
        </w:tc>
        <w:tc>
          <w:tcPr>
            <w:tcW w:w="2620" w:type="dxa"/>
            <w:tcBorders>
              <w:top w:val="nil"/>
              <w:left w:val="nil"/>
              <w:bottom w:val="single" w:sz="8" w:space="0" w:color="auto"/>
              <w:right w:val="single" w:sz="4" w:space="0" w:color="auto"/>
            </w:tcBorders>
            <w:noWrap/>
            <w:vAlign w:val="bottom"/>
          </w:tcPr>
          <w:p w:rsidR="00087CF4" w:rsidRPr="00DA287C" w:rsidRDefault="00087CF4" w:rsidP="00341F25">
            <w:pPr>
              <w:spacing w:after="0" w:line="240" w:lineRule="auto"/>
              <w:jc w:val="center"/>
              <w:rPr>
                <w:color w:val="000000"/>
                <w:lang w:eastAsia="sl-SI"/>
              </w:rPr>
            </w:pPr>
            <w:r>
              <w:rPr>
                <w:color w:val="000000"/>
                <w:lang w:eastAsia="sl-SI"/>
              </w:rPr>
              <w:t>0,4462</w:t>
            </w:r>
          </w:p>
        </w:tc>
        <w:tc>
          <w:tcPr>
            <w:tcW w:w="2140" w:type="dxa"/>
            <w:tcBorders>
              <w:top w:val="nil"/>
              <w:left w:val="nil"/>
              <w:bottom w:val="single" w:sz="8" w:space="0" w:color="auto"/>
              <w:right w:val="single" w:sz="8" w:space="0" w:color="auto"/>
            </w:tcBorders>
            <w:noWrap/>
            <w:vAlign w:val="bottom"/>
          </w:tcPr>
          <w:p w:rsidR="00087CF4" w:rsidRPr="00DA287C" w:rsidRDefault="00087CF4" w:rsidP="00DB5281">
            <w:pPr>
              <w:spacing w:after="0" w:line="240" w:lineRule="auto"/>
              <w:jc w:val="center"/>
              <w:rPr>
                <w:color w:val="000000"/>
                <w:lang w:eastAsia="sl-SI"/>
              </w:rPr>
            </w:pPr>
            <w:r>
              <w:rPr>
                <w:color w:val="000000"/>
                <w:lang w:eastAsia="sl-SI"/>
              </w:rPr>
              <w:t>- 0,0457(9,29%)</w:t>
            </w:r>
          </w:p>
        </w:tc>
      </w:tr>
    </w:tbl>
    <w:p w:rsidR="00087CF4" w:rsidRDefault="00087CF4" w:rsidP="00F00A0F"/>
    <w:p w:rsidR="00087CF4" w:rsidRPr="00341F25" w:rsidRDefault="00087CF4" w:rsidP="00805B41">
      <w:pPr>
        <w:pStyle w:val="Heading3"/>
        <w:rPr>
          <w:rFonts w:ascii="Calibri" w:hAnsi="Calibri"/>
        </w:rPr>
      </w:pPr>
      <w:bookmarkStart w:id="21" w:name="_Toc416257830"/>
      <w:r w:rsidRPr="00341F25">
        <w:rPr>
          <w:rFonts w:ascii="Calibri" w:hAnsi="Calibri"/>
        </w:rPr>
        <w:t>Subvencioniranje cene omrežnine</w:t>
      </w:r>
      <w:bookmarkEnd w:id="21"/>
    </w:p>
    <w:p w:rsidR="00087CF4" w:rsidRDefault="00087CF4" w:rsidP="002D3286">
      <w:r>
        <w:t xml:space="preserve">Uredba v 3. členu dopušča, da pristojni občinski organ ob potrditvi cene odloči, da potrjena cena storitve javne službe ne pokriva celotne </w:t>
      </w:r>
      <w:r w:rsidRPr="0072751B">
        <w:t>obračunane amortizacije za javno infrastrukturo</w:t>
      </w:r>
      <w:r>
        <w:rPr>
          <w:rStyle w:val="FootnoteReference"/>
        </w:rPr>
        <w:footnoteReference w:id="1"/>
      </w:r>
      <w:r>
        <w:t xml:space="preserve">. Za razliko - </w:t>
      </w:r>
      <w:r w:rsidRPr="00E57CF4">
        <w:rPr>
          <w:b/>
          <w:i/>
        </w:rPr>
        <w:t>subvencijo</w:t>
      </w:r>
      <w:r>
        <w:t xml:space="preserve"> - mora sprejeti, </w:t>
      </w:r>
      <w:r w:rsidRPr="00F11B20">
        <w:t>da se krije iz proračuna občine.</w:t>
      </w:r>
      <w:r>
        <w:t xml:space="preserve"> Pri tem Uredba določa, da občina lahko prizna subvencijo v izračunu cen storitev javnih služb zgolj za uporabnike, ki so gospodinjstva ali izvajalci nepridobitnih dejavnosti.</w:t>
      </w:r>
      <w:r w:rsidRPr="0072751B">
        <w:t xml:space="preserve"> </w:t>
      </w:r>
      <w:r>
        <w:t xml:space="preserve">Pristojni občinski organ odločitev o subvencioniranju sprejme s sklepom občinskega sveta. </w:t>
      </w:r>
    </w:p>
    <w:p w:rsidR="00087CF4" w:rsidRDefault="00087CF4" w:rsidP="0072751B">
      <w:r>
        <w:t xml:space="preserve">V primeru, da se </w:t>
      </w:r>
      <w:r w:rsidRPr="00805B41">
        <w:t>cena omrežnine</w:t>
      </w:r>
      <w:r>
        <w:t xml:space="preserve"> </w:t>
      </w:r>
      <w:r w:rsidRPr="00E57CF4">
        <w:t>sofina</w:t>
      </w:r>
      <w:r>
        <w:t>n</w:t>
      </w:r>
      <w:r w:rsidRPr="00E57CF4">
        <w:t>cira s subvencijo</w:t>
      </w:r>
      <w:r>
        <w:t xml:space="preserve"> se uporabnikom,</w:t>
      </w:r>
      <w:r w:rsidRPr="00F11B20">
        <w:t xml:space="preserve"> ki so gospodinjstva ali izvajalci nepridobitnih dejavnosti</w:t>
      </w:r>
      <w:r>
        <w:t xml:space="preserve">, zaračuna ceno storitve omrežnine po ceni, ki je od cene sprejete s tem elaboratom (po Uredbi je to </w:t>
      </w:r>
      <w:r w:rsidRPr="00E57CF4">
        <w:rPr>
          <w:b/>
          <w:i/>
        </w:rPr>
        <w:t>potrjena cena</w:t>
      </w:r>
      <w:r>
        <w:t xml:space="preserve">) nižja za višino subvencije. Tako oblikovano ceno Uredba poimenuje </w:t>
      </w:r>
      <w:r w:rsidRPr="00E57CF4">
        <w:rPr>
          <w:b/>
          <w:i/>
        </w:rPr>
        <w:t>zaračunana cena</w:t>
      </w:r>
      <w:r>
        <w:t xml:space="preserve"> storitve javne službe, ki cena po kateri se uporabniku storitve storitev zaračuna.</w:t>
      </w:r>
    </w:p>
    <w:p w:rsidR="00087CF4" w:rsidRPr="00341F25" w:rsidRDefault="00087CF4" w:rsidP="00465B78">
      <w:pPr>
        <w:pStyle w:val="Heading2"/>
        <w:rPr>
          <w:rFonts w:ascii="Calibri" w:hAnsi="Calibri"/>
        </w:rPr>
      </w:pPr>
      <w:bookmarkStart w:id="22" w:name="_Toc416257831"/>
      <w:r w:rsidRPr="00341F25">
        <w:rPr>
          <w:rFonts w:ascii="Calibri" w:hAnsi="Calibri"/>
        </w:rPr>
        <w:t>Prikaz sodil za razporejanje vseh stroškov in prihodkov po dejavnostih</w:t>
      </w:r>
      <w:bookmarkEnd w:id="22"/>
      <w:r w:rsidRPr="00341F25">
        <w:rPr>
          <w:rFonts w:ascii="Calibri" w:hAnsi="Calibri"/>
        </w:rPr>
        <w:t xml:space="preserve"> </w:t>
      </w:r>
    </w:p>
    <w:p w:rsidR="00087CF4" w:rsidRPr="00F11B20" w:rsidRDefault="00087CF4" w:rsidP="00F11B20">
      <w:r>
        <w:t>Poleg sodil, ki so obvezna sestavina elaborata, so v tej točki opisani tudi stroški zajeti v posamezni kategoriji stroškov omrežnine in odvajanja odpadne vode.</w:t>
      </w:r>
    </w:p>
    <w:p w:rsidR="00087CF4" w:rsidRDefault="00087CF4" w:rsidP="00805997">
      <w:pPr>
        <w:pStyle w:val="Heading3"/>
      </w:pPr>
      <w:bookmarkStart w:id="23" w:name="_Toc416257832"/>
      <w:r>
        <w:t>Sodila za stroške omrežnine</w:t>
      </w:r>
      <w:bookmarkEnd w:id="23"/>
    </w:p>
    <w:p w:rsidR="00087CF4" w:rsidRDefault="00087CF4" w:rsidP="00154A51">
      <w:r w:rsidRPr="00DC4F5D">
        <w:rPr>
          <w:b/>
          <w:i/>
        </w:rPr>
        <w:t>Stroški amortizacije ali najema javne infrastrukture</w:t>
      </w:r>
      <w:r>
        <w:t xml:space="preserve"> so v tem elaboratu dejanski stroški amortizacije iz točke 2.9. Stroški so skladno z Uredbo </w:t>
      </w:r>
      <w:r w:rsidRPr="00DC4F5D">
        <w:t>izračuna</w:t>
      </w:r>
      <w:r>
        <w:t>ni</w:t>
      </w:r>
      <w:r w:rsidRPr="00DC4F5D">
        <w:t xml:space="preserve"> po metodi časovnega amortiziranja, glede na stopnjo izkoriščenosti zmogljivosti infrastrukture javne službe</w:t>
      </w:r>
      <w:r>
        <w:t xml:space="preserve"> (točka 2.15)</w:t>
      </w:r>
      <w:r w:rsidRPr="00DC4F5D">
        <w:t xml:space="preserve"> in ob upoštevanju življenjske</w:t>
      </w:r>
      <w:r>
        <w:t xml:space="preserve"> dobe elementov in materialov posameznega kanalizacijskega sistema. Amortizacijske stopnje so določene v prilogi 1 Uredbe. </w:t>
      </w:r>
    </w:p>
    <w:p w:rsidR="00087CF4" w:rsidRDefault="00087CF4" w:rsidP="00154A51">
      <w:r w:rsidRPr="00DC4F5D">
        <w:rPr>
          <w:b/>
          <w:i/>
        </w:rPr>
        <w:t>Strošk</w:t>
      </w:r>
      <w:r>
        <w:rPr>
          <w:b/>
          <w:i/>
        </w:rPr>
        <w:t>i</w:t>
      </w:r>
      <w:r w:rsidRPr="00DC4F5D">
        <w:rPr>
          <w:b/>
          <w:i/>
        </w:rPr>
        <w:t xml:space="preserve"> zavarovanja infrastrukture javne službe</w:t>
      </w:r>
      <w:r>
        <w:t xml:space="preserve"> so nastali tovrstni stroški za zavarovaje javne infrastrukture (obračunska cena) oziroma planirani/ocenjeni stroški (predračunska cena). </w:t>
      </w:r>
    </w:p>
    <w:p w:rsidR="00087CF4" w:rsidRPr="00341F25" w:rsidRDefault="00087CF4" w:rsidP="00F805B3">
      <w:pPr>
        <w:pStyle w:val="Heading3"/>
        <w:rPr>
          <w:rFonts w:ascii="Calibri" w:hAnsi="Calibri"/>
        </w:rPr>
      </w:pPr>
      <w:bookmarkStart w:id="24" w:name="_Toc416257833"/>
      <w:r w:rsidRPr="00341F25">
        <w:rPr>
          <w:rFonts w:ascii="Calibri" w:hAnsi="Calibri"/>
        </w:rPr>
        <w:t>Sodila za stroške izvajanja storitev</w:t>
      </w:r>
      <w:bookmarkEnd w:id="24"/>
    </w:p>
    <w:p w:rsidR="00087CF4" w:rsidRDefault="00087CF4" w:rsidP="00A13E1C">
      <w:r w:rsidRPr="00A13E1C">
        <w:rPr>
          <w:b/>
          <w:i/>
        </w:rPr>
        <w:t>Neposredn</w:t>
      </w:r>
      <w:r>
        <w:rPr>
          <w:b/>
          <w:i/>
        </w:rPr>
        <w:t>i</w:t>
      </w:r>
      <w:r w:rsidRPr="00A13E1C">
        <w:rPr>
          <w:b/>
          <w:i/>
        </w:rPr>
        <w:t xml:space="preserve"> strošk</w:t>
      </w:r>
      <w:r>
        <w:rPr>
          <w:b/>
          <w:i/>
        </w:rPr>
        <w:t>i</w:t>
      </w:r>
      <w:r w:rsidRPr="00A13E1C">
        <w:rPr>
          <w:b/>
          <w:i/>
        </w:rPr>
        <w:t xml:space="preserve"> materiala in storitev</w:t>
      </w:r>
      <w:r>
        <w:t xml:space="preserve"> so to zadevni stroški, ki so nastali pri izvajanju javne službe (stroški rednega in izrednega vzdrževanja, električna energija,…).</w:t>
      </w:r>
    </w:p>
    <w:p w:rsidR="00087CF4" w:rsidRDefault="00087CF4" w:rsidP="00A13E1C">
      <w:r w:rsidRPr="00A13E1C">
        <w:rPr>
          <w:b/>
          <w:i/>
        </w:rPr>
        <w:t>Neposredne stroške dela</w:t>
      </w:r>
      <w:r>
        <w:t xml:space="preserve"> se deli po času, ki ga posamezni zaposleni nameni delu, ki je predmet izvajanja storitev (točka 2.13).</w:t>
      </w:r>
    </w:p>
    <w:p w:rsidR="00087CF4" w:rsidRDefault="00087CF4" w:rsidP="00A13E1C">
      <w:r>
        <w:rPr>
          <w:b/>
          <w:i/>
        </w:rPr>
        <w:t>D</w:t>
      </w:r>
      <w:r w:rsidRPr="008F5C05">
        <w:rPr>
          <w:b/>
          <w:i/>
        </w:rPr>
        <w:t>rugi neposredni stroški</w:t>
      </w:r>
      <w:r>
        <w:rPr>
          <w:b/>
          <w:i/>
        </w:rPr>
        <w:t xml:space="preserve"> </w:t>
      </w:r>
      <w:r w:rsidRPr="008F5C05">
        <w:t>vključujejo skupne</w:t>
      </w:r>
      <w:r>
        <w:rPr>
          <w:b/>
          <w:i/>
        </w:rPr>
        <w:t xml:space="preserve"> </w:t>
      </w:r>
      <w:r>
        <w:t>stroške rednih in izrednih del,…</w:t>
      </w:r>
    </w:p>
    <w:p w:rsidR="00087CF4" w:rsidRPr="00A13E1C" w:rsidRDefault="00087CF4" w:rsidP="00A13E1C">
      <w:r w:rsidRPr="00A13E1C">
        <w:rPr>
          <w:b/>
          <w:i/>
        </w:rPr>
        <w:t>Splošn</w:t>
      </w:r>
      <w:r>
        <w:rPr>
          <w:b/>
          <w:i/>
        </w:rPr>
        <w:t>i</w:t>
      </w:r>
      <w:r w:rsidRPr="00A13E1C">
        <w:rPr>
          <w:b/>
          <w:i/>
        </w:rPr>
        <w:t xml:space="preserve"> (posredn</w:t>
      </w:r>
      <w:r>
        <w:rPr>
          <w:b/>
          <w:i/>
        </w:rPr>
        <w:t>i</w:t>
      </w:r>
      <w:r w:rsidRPr="00A13E1C">
        <w:rPr>
          <w:b/>
          <w:i/>
        </w:rPr>
        <w:t>) proizvajaln</w:t>
      </w:r>
      <w:r>
        <w:rPr>
          <w:b/>
          <w:i/>
        </w:rPr>
        <w:t>i</w:t>
      </w:r>
      <w:r w:rsidRPr="00A13E1C">
        <w:rPr>
          <w:b/>
          <w:i/>
        </w:rPr>
        <w:t xml:space="preserve"> strošk</w:t>
      </w:r>
      <w:r>
        <w:rPr>
          <w:b/>
          <w:i/>
        </w:rPr>
        <w:t>i</w:t>
      </w:r>
      <w:r w:rsidRPr="00A13E1C">
        <w:rPr>
          <w:b/>
          <w:i/>
        </w:rPr>
        <w:t>, ki vključujejo stroške materiala, amortizacije poslovno potrebnih osnovnih sredstev, storitev in dela</w:t>
      </w:r>
      <w:r w:rsidRPr="00A13E1C">
        <w:t xml:space="preserve"> </w:t>
      </w:r>
      <w:r>
        <w:t xml:space="preserve"> vključujejo amortizacijo računalnikov in opreme v sorazmernem delu uporabe.</w:t>
      </w:r>
    </w:p>
    <w:p w:rsidR="00087CF4" w:rsidRPr="008F5C05" w:rsidRDefault="00087CF4" w:rsidP="00A13E1C">
      <w:r>
        <w:rPr>
          <w:b/>
          <w:i/>
        </w:rPr>
        <w:t>S</w:t>
      </w:r>
      <w:r w:rsidRPr="008F5C05">
        <w:rPr>
          <w:b/>
          <w:i/>
        </w:rPr>
        <w:t>plošni nabavno-prodajni stroški, ki vključujejo stroške materiala, amortizacije poslovno potrebnih osnovnih sredstev, storitev in dela</w:t>
      </w:r>
      <w:r>
        <w:t xml:space="preserve"> so stroški povezani s stroški plačilnega prometa, operativnimi odhodki in plačilom bančnih storitev, ki nastanejo pri izvajanju javne službe. </w:t>
      </w:r>
    </w:p>
    <w:p w:rsidR="00087CF4" w:rsidRPr="00341F25" w:rsidRDefault="00087CF4" w:rsidP="00805997">
      <w:pPr>
        <w:pStyle w:val="Heading3"/>
        <w:rPr>
          <w:rFonts w:ascii="Calibri" w:hAnsi="Calibri"/>
        </w:rPr>
      </w:pPr>
      <w:bookmarkStart w:id="25" w:name="_Toc416257834"/>
      <w:r w:rsidRPr="00341F25">
        <w:rPr>
          <w:rFonts w:ascii="Calibri" w:hAnsi="Calibri"/>
        </w:rPr>
        <w:t>Sodila za prihodke</w:t>
      </w:r>
      <w:bookmarkEnd w:id="25"/>
      <w:r w:rsidRPr="00341F25">
        <w:rPr>
          <w:rFonts w:ascii="Calibri" w:hAnsi="Calibri"/>
        </w:rPr>
        <w:t xml:space="preserve"> </w:t>
      </w:r>
    </w:p>
    <w:p w:rsidR="00087CF4" w:rsidRPr="002515F9" w:rsidRDefault="00087CF4" w:rsidP="00295557">
      <w:r>
        <w:t>Prihodke in odhodke je na osnovi četrtega odstavka 5. člena Uredbe potrebno evidentirati ločeno v skladu s slovenskimi računovodskimi standardi. Prihodke se ločuje po storitvah določenih z Uredbo: omrežnina in čiščenje odpadne vode.</w:t>
      </w:r>
    </w:p>
    <w:p w:rsidR="00087CF4" w:rsidRPr="00341F25" w:rsidRDefault="00087CF4" w:rsidP="00295557">
      <w:pPr>
        <w:rPr>
          <w:b/>
          <w:color w:val="0070C0"/>
          <w:sz w:val="28"/>
          <w:szCs w:val="28"/>
          <w:u w:val="single"/>
        </w:rPr>
      </w:pPr>
      <w:r w:rsidRPr="00341F25">
        <w:rPr>
          <w:b/>
          <w:color w:val="0070C0"/>
          <w:sz w:val="28"/>
          <w:szCs w:val="28"/>
          <w:u w:val="single"/>
        </w:rPr>
        <w:t>Ugotovitve:</w:t>
      </w:r>
    </w:p>
    <w:p w:rsidR="00087CF4" w:rsidRPr="00AC3D35" w:rsidRDefault="00087CF4" w:rsidP="00295557">
      <w:pPr>
        <w:rPr>
          <w:b/>
          <w:color w:val="000000"/>
          <w:u w:val="single"/>
        </w:rPr>
      </w:pPr>
      <w:r w:rsidRPr="00AC3D35">
        <w:rPr>
          <w:b/>
          <w:color w:val="000000"/>
          <w:u w:val="single"/>
        </w:rPr>
        <w:t>Omrežnina (fiksni del):</w:t>
      </w:r>
    </w:p>
    <w:p w:rsidR="00087CF4" w:rsidRPr="002515F9" w:rsidRDefault="00087CF4" w:rsidP="00295557">
      <w:pPr>
        <w:rPr>
          <w:b/>
          <w:color w:val="FF0000"/>
        </w:rPr>
      </w:pPr>
      <w:r w:rsidRPr="00DA287C">
        <w:rPr>
          <w:color w:val="000000"/>
        </w:rPr>
        <w:t xml:space="preserve">Letni stroški za izračun omrežnine </w:t>
      </w:r>
      <w:r>
        <w:rPr>
          <w:color w:val="000000"/>
        </w:rPr>
        <w:t>čiščenje odpadne</w:t>
      </w:r>
      <w:r w:rsidRPr="00DA287C">
        <w:rPr>
          <w:color w:val="000000"/>
        </w:rPr>
        <w:t xml:space="preserve"> v občini Črna na Ko</w:t>
      </w:r>
      <w:r>
        <w:rPr>
          <w:color w:val="000000"/>
        </w:rPr>
        <w:t xml:space="preserve">roškem za leto 2016 znašajo 50.912,69 €. V strošku so vključeni stroški amortizacije in stroški vzdrževanja za plansko leto 2016. Iz evidenc o vodovodnih priključkih je v kalkulacijo omrežnine za leto 2016 privzetih skupno 768 priključkov. V primerjavi z veljavno ceno leta 2015 (0,4389 € za DN&lt;=20 brez DDV), je cena omrežnine leta 2016 (0,4048 € ) za 7,77 % nižja. </w:t>
      </w:r>
      <w:r w:rsidRPr="007355CF">
        <w:rPr>
          <w:b/>
          <w:color w:val="000000"/>
        </w:rPr>
        <w:t>Cena ostane nespremenjena, saj je v okviru 10 %.</w:t>
      </w:r>
    </w:p>
    <w:p w:rsidR="00087CF4" w:rsidRDefault="00087CF4" w:rsidP="00295557">
      <w:pPr>
        <w:rPr>
          <w:color w:val="1F497D"/>
          <w:sz w:val="18"/>
          <w:szCs w:val="18"/>
        </w:rPr>
      </w:pPr>
    </w:p>
    <w:p w:rsidR="00087CF4" w:rsidRPr="00AC3D35" w:rsidRDefault="00087CF4" w:rsidP="00811117">
      <w:pPr>
        <w:rPr>
          <w:b/>
          <w:color w:val="000000"/>
          <w:u w:val="single"/>
        </w:rPr>
      </w:pPr>
      <w:r>
        <w:rPr>
          <w:b/>
          <w:color w:val="000000"/>
          <w:u w:val="single"/>
        </w:rPr>
        <w:t>Čiščenje</w:t>
      </w:r>
      <w:r w:rsidRPr="00AC3D35">
        <w:rPr>
          <w:b/>
          <w:color w:val="000000"/>
          <w:u w:val="single"/>
        </w:rPr>
        <w:t xml:space="preserve"> (variabilni del):</w:t>
      </w:r>
    </w:p>
    <w:p w:rsidR="00087CF4" w:rsidRDefault="00087CF4" w:rsidP="00295557">
      <w:pPr>
        <w:rPr>
          <w:color w:val="000000"/>
        </w:rPr>
      </w:pPr>
      <w:r>
        <w:rPr>
          <w:color w:val="000000"/>
        </w:rPr>
        <w:t xml:space="preserve">Skupna vrednost kalkulativnih stroškov znaša 46.847,09 € in predstavlja osnovo za izračun cene izvajanja storitve GJS. V letu 2016 načrtujemo 100.000 m3 odpadne komunalne vode. Izračunana predračunska cena storitve čiščenja odpadne vode za leto 2016 znaša tako 0,4685 €/m3. Z upoštevanjem poračuna cene preteklega obračunskega obdobja (- 0,02225 €/m3), znaša </w:t>
      </w:r>
      <w:r w:rsidRPr="006F680C">
        <w:rPr>
          <w:b/>
          <w:color w:val="000000"/>
        </w:rPr>
        <w:t xml:space="preserve">končna cena za leto </w:t>
      </w:r>
      <w:r>
        <w:rPr>
          <w:b/>
          <w:color w:val="000000"/>
        </w:rPr>
        <w:t>2016</w:t>
      </w:r>
      <w:r w:rsidRPr="006F680C">
        <w:rPr>
          <w:b/>
          <w:color w:val="000000"/>
        </w:rPr>
        <w:t xml:space="preserve"> </w:t>
      </w:r>
      <w:r>
        <w:rPr>
          <w:b/>
          <w:color w:val="000000"/>
        </w:rPr>
        <w:t>0,4462</w:t>
      </w:r>
      <w:r w:rsidRPr="006F680C">
        <w:rPr>
          <w:b/>
          <w:color w:val="000000"/>
        </w:rPr>
        <w:t xml:space="preserve"> €/m3 brez DDV</w:t>
      </w:r>
      <w:r>
        <w:rPr>
          <w:color w:val="000000"/>
        </w:rPr>
        <w:t xml:space="preserve">, kar pomeni nižja za 9,29%. Predračunska cena za leto 2016 upoštevana s poračunom je nižja od potrjene lanske cene 2016. </w:t>
      </w:r>
    </w:p>
    <w:p w:rsidR="00087CF4" w:rsidRPr="00201092" w:rsidRDefault="00087CF4" w:rsidP="00295557">
      <w:pPr>
        <w:rPr>
          <w:color w:val="000000"/>
        </w:rPr>
      </w:pPr>
      <w:r w:rsidRPr="00201092">
        <w:rPr>
          <w:color w:val="000000"/>
        </w:rPr>
        <w:t>Cena za uporabni</w:t>
      </w:r>
      <w:r>
        <w:rPr>
          <w:color w:val="000000"/>
        </w:rPr>
        <w:t xml:space="preserve">ka je v letu 2015 znašala 0,3514 €/m3 brez DDV, zaradi subvencije občine Črna na Koroškem v višini 0,1405 €/m3. </w:t>
      </w:r>
      <w:r w:rsidRPr="007355CF">
        <w:rPr>
          <w:b/>
          <w:color w:val="000000"/>
        </w:rPr>
        <w:t>Cena ostane nespremenjena, saj je v okviru 10 %</w:t>
      </w:r>
      <w:r>
        <w:rPr>
          <w:b/>
          <w:color w:val="000000"/>
        </w:rPr>
        <w:t>. Subvencija ostane v višini 0,1405 €/m3.</w:t>
      </w:r>
    </w:p>
    <w:sectPr w:rsidR="00087CF4" w:rsidRPr="00201092" w:rsidSect="00F41EE7">
      <w:footerReference w:type="default" r:id="rId14"/>
      <w:pgSz w:w="11906" w:h="16838"/>
      <w:pgMar w:top="1135"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7CF4" w:rsidRDefault="00087CF4" w:rsidP="00805997">
      <w:pPr>
        <w:spacing w:after="0" w:line="240" w:lineRule="auto"/>
      </w:pPr>
      <w:r>
        <w:separator/>
      </w:r>
    </w:p>
  </w:endnote>
  <w:endnote w:type="continuationSeparator" w:id="0">
    <w:p w:rsidR="00087CF4" w:rsidRDefault="00087CF4" w:rsidP="008059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CF4" w:rsidRDefault="00087CF4">
    <w:pPr>
      <w:pStyle w:val="Footer"/>
      <w:jc w:val="center"/>
    </w:pPr>
    <w:fldSimple w:instr="PAGE   \* MERGEFORMAT">
      <w:r>
        <w:rPr>
          <w:noProof/>
        </w:rPr>
        <w:t>1</w:t>
      </w:r>
    </w:fldSimple>
  </w:p>
  <w:p w:rsidR="00087CF4" w:rsidRDefault="00087C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7CF4" w:rsidRDefault="00087CF4" w:rsidP="00805997">
      <w:pPr>
        <w:spacing w:after="0" w:line="240" w:lineRule="auto"/>
      </w:pPr>
      <w:r>
        <w:separator/>
      </w:r>
    </w:p>
  </w:footnote>
  <w:footnote w:type="continuationSeparator" w:id="0">
    <w:p w:rsidR="00087CF4" w:rsidRDefault="00087CF4" w:rsidP="00805997">
      <w:pPr>
        <w:spacing w:after="0" w:line="240" w:lineRule="auto"/>
      </w:pPr>
      <w:r>
        <w:continuationSeparator/>
      </w:r>
    </w:p>
  </w:footnote>
  <w:footnote w:id="1">
    <w:p w:rsidR="00087CF4" w:rsidRDefault="00087CF4" w:rsidP="002D3286">
      <w:pPr>
        <w:pStyle w:val="FootnoteText"/>
      </w:pPr>
      <w:r>
        <w:rPr>
          <w:rStyle w:val="FootnoteReference"/>
        </w:rPr>
        <w:footnoteRef/>
      </w:r>
      <w:r>
        <w:t xml:space="preserve"> </w:t>
      </w:r>
      <w:r w:rsidRPr="00156EB7">
        <w:rPr>
          <w:sz w:val="16"/>
        </w:rPr>
        <w:t>Skladno s Slovenskimi računovodskimi standardi, točka 13.3., se obračunavajo posebej stroški amortizacije opredmetenih osnovnih sredstev in neopredmetenih sredstev s končnimi dobami koristnosti, pridobljenih z državnimi podporami ali z donacijami. Iz dolgoročno odloženih prihodkov se vnašajo med prihodke posameznega poslovnega leta zneski, ki ustrezajo tako obračunanim stroškom amortizacije.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943DC"/>
    <w:multiLevelType w:val="hybridMultilevel"/>
    <w:tmpl w:val="03647A94"/>
    <w:lvl w:ilvl="0" w:tplc="04240001">
      <w:start w:val="1"/>
      <w:numFmt w:val="bullet"/>
      <w:lvlText w:val=""/>
      <w:lvlJc w:val="left"/>
      <w:pPr>
        <w:ind w:left="720" w:hanging="360"/>
      </w:pPr>
      <w:rPr>
        <w:rFonts w:ascii="Symbol" w:hAnsi="Symbol" w:hint="default"/>
      </w:rPr>
    </w:lvl>
    <w:lvl w:ilvl="1" w:tplc="2C96BFA6">
      <w:numFmt w:val="bullet"/>
      <w:lvlText w:val="–"/>
      <w:lvlJc w:val="left"/>
      <w:pPr>
        <w:ind w:left="1440" w:hanging="360"/>
      </w:pPr>
      <w:rPr>
        <w:rFonts w:ascii="Calibri" w:eastAsia="Times New Roman" w:hAnsi="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F61288C"/>
    <w:multiLevelType w:val="hybridMultilevel"/>
    <w:tmpl w:val="56AEC58C"/>
    <w:lvl w:ilvl="0" w:tplc="2C96BFA6">
      <w:numFmt w:val="bullet"/>
      <w:lvlText w:val="–"/>
      <w:lvlJc w:val="left"/>
      <w:pPr>
        <w:ind w:left="414" w:hanging="360"/>
      </w:pPr>
      <w:rPr>
        <w:rFonts w:ascii="Calibri" w:eastAsia="Times New Roman" w:hAnsi="Calibri" w:hint="default"/>
      </w:rPr>
    </w:lvl>
    <w:lvl w:ilvl="1" w:tplc="04240003" w:tentative="1">
      <w:start w:val="1"/>
      <w:numFmt w:val="bullet"/>
      <w:lvlText w:val="o"/>
      <w:lvlJc w:val="left"/>
      <w:pPr>
        <w:ind w:left="1494" w:hanging="360"/>
      </w:pPr>
      <w:rPr>
        <w:rFonts w:ascii="Courier New" w:hAnsi="Courier New" w:hint="default"/>
      </w:rPr>
    </w:lvl>
    <w:lvl w:ilvl="2" w:tplc="04240005" w:tentative="1">
      <w:start w:val="1"/>
      <w:numFmt w:val="bullet"/>
      <w:lvlText w:val=""/>
      <w:lvlJc w:val="left"/>
      <w:pPr>
        <w:ind w:left="2214" w:hanging="360"/>
      </w:pPr>
      <w:rPr>
        <w:rFonts w:ascii="Wingdings" w:hAnsi="Wingdings" w:hint="default"/>
      </w:rPr>
    </w:lvl>
    <w:lvl w:ilvl="3" w:tplc="04240001" w:tentative="1">
      <w:start w:val="1"/>
      <w:numFmt w:val="bullet"/>
      <w:lvlText w:val=""/>
      <w:lvlJc w:val="left"/>
      <w:pPr>
        <w:ind w:left="2934" w:hanging="360"/>
      </w:pPr>
      <w:rPr>
        <w:rFonts w:ascii="Symbol" w:hAnsi="Symbol" w:hint="default"/>
      </w:rPr>
    </w:lvl>
    <w:lvl w:ilvl="4" w:tplc="04240003" w:tentative="1">
      <w:start w:val="1"/>
      <w:numFmt w:val="bullet"/>
      <w:lvlText w:val="o"/>
      <w:lvlJc w:val="left"/>
      <w:pPr>
        <w:ind w:left="3654" w:hanging="360"/>
      </w:pPr>
      <w:rPr>
        <w:rFonts w:ascii="Courier New" w:hAnsi="Courier New" w:hint="default"/>
      </w:rPr>
    </w:lvl>
    <w:lvl w:ilvl="5" w:tplc="04240005" w:tentative="1">
      <w:start w:val="1"/>
      <w:numFmt w:val="bullet"/>
      <w:lvlText w:val=""/>
      <w:lvlJc w:val="left"/>
      <w:pPr>
        <w:ind w:left="4374" w:hanging="360"/>
      </w:pPr>
      <w:rPr>
        <w:rFonts w:ascii="Wingdings" w:hAnsi="Wingdings" w:hint="default"/>
      </w:rPr>
    </w:lvl>
    <w:lvl w:ilvl="6" w:tplc="04240001" w:tentative="1">
      <w:start w:val="1"/>
      <w:numFmt w:val="bullet"/>
      <w:lvlText w:val=""/>
      <w:lvlJc w:val="left"/>
      <w:pPr>
        <w:ind w:left="5094" w:hanging="360"/>
      </w:pPr>
      <w:rPr>
        <w:rFonts w:ascii="Symbol" w:hAnsi="Symbol" w:hint="default"/>
      </w:rPr>
    </w:lvl>
    <w:lvl w:ilvl="7" w:tplc="04240003" w:tentative="1">
      <w:start w:val="1"/>
      <w:numFmt w:val="bullet"/>
      <w:lvlText w:val="o"/>
      <w:lvlJc w:val="left"/>
      <w:pPr>
        <w:ind w:left="5814" w:hanging="360"/>
      </w:pPr>
      <w:rPr>
        <w:rFonts w:ascii="Courier New" w:hAnsi="Courier New" w:hint="default"/>
      </w:rPr>
    </w:lvl>
    <w:lvl w:ilvl="8" w:tplc="04240005" w:tentative="1">
      <w:start w:val="1"/>
      <w:numFmt w:val="bullet"/>
      <w:lvlText w:val=""/>
      <w:lvlJc w:val="left"/>
      <w:pPr>
        <w:ind w:left="6534" w:hanging="360"/>
      </w:pPr>
      <w:rPr>
        <w:rFonts w:ascii="Wingdings" w:hAnsi="Wingdings" w:hint="default"/>
      </w:rPr>
    </w:lvl>
  </w:abstractNum>
  <w:abstractNum w:abstractNumId="2">
    <w:nsid w:val="17CA4B6B"/>
    <w:multiLevelType w:val="hybridMultilevel"/>
    <w:tmpl w:val="9BA81F54"/>
    <w:lvl w:ilvl="0" w:tplc="2C96BFA6">
      <w:numFmt w:val="bullet"/>
      <w:lvlText w:val="–"/>
      <w:lvlJc w:val="left"/>
      <w:pPr>
        <w:ind w:left="360" w:hanging="360"/>
      </w:pPr>
      <w:rPr>
        <w:rFonts w:ascii="Calibri" w:eastAsia="Times New Roman" w:hAnsi="Calibri" w:hint="default"/>
      </w:rPr>
    </w:lvl>
    <w:lvl w:ilvl="1" w:tplc="04240003">
      <w:start w:val="1"/>
      <w:numFmt w:val="bullet"/>
      <w:lvlText w:val="o"/>
      <w:lvlJc w:val="left"/>
      <w:pPr>
        <w:ind w:left="360" w:hanging="360"/>
      </w:pPr>
      <w:rPr>
        <w:rFonts w:ascii="Courier New" w:hAnsi="Courier New" w:hint="default"/>
      </w:rPr>
    </w:lvl>
    <w:lvl w:ilvl="2" w:tplc="04240005">
      <w:start w:val="1"/>
      <w:numFmt w:val="bullet"/>
      <w:lvlText w:val=""/>
      <w:lvlJc w:val="left"/>
      <w:pPr>
        <w:ind w:left="1080" w:hanging="360"/>
      </w:pPr>
      <w:rPr>
        <w:rFonts w:ascii="Wingdings" w:hAnsi="Wingdings" w:hint="default"/>
      </w:rPr>
    </w:lvl>
    <w:lvl w:ilvl="3" w:tplc="04240001" w:tentative="1">
      <w:start w:val="1"/>
      <w:numFmt w:val="bullet"/>
      <w:lvlText w:val=""/>
      <w:lvlJc w:val="left"/>
      <w:pPr>
        <w:ind w:left="1800" w:hanging="360"/>
      </w:pPr>
      <w:rPr>
        <w:rFonts w:ascii="Symbol" w:hAnsi="Symbol" w:hint="default"/>
      </w:rPr>
    </w:lvl>
    <w:lvl w:ilvl="4" w:tplc="04240003" w:tentative="1">
      <w:start w:val="1"/>
      <w:numFmt w:val="bullet"/>
      <w:lvlText w:val="o"/>
      <w:lvlJc w:val="left"/>
      <w:pPr>
        <w:ind w:left="2520" w:hanging="360"/>
      </w:pPr>
      <w:rPr>
        <w:rFonts w:ascii="Courier New" w:hAnsi="Courier New" w:hint="default"/>
      </w:rPr>
    </w:lvl>
    <w:lvl w:ilvl="5" w:tplc="04240005" w:tentative="1">
      <w:start w:val="1"/>
      <w:numFmt w:val="bullet"/>
      <w:lvlText w:val=""/>
      <w:lvlJc w:val="left"/>
      <w:pPr>
        <w:ind w:left="3240" w:hanging="360"/>
      </w:pPr>
      <w:rPr>
        <w:rFonts w:ascii="Wingdings" w:hAnsi="Wingdings" w:hint="default"/>
      </w:rPr>
    </w:lvl>
    <w:lvl w:ilvl="6" w:tplc="04240001" w:tentative="1">
      <w:start w:val="1"/>
      <w:numFmt w:val="bullet"/>
      <w:lvlText w:val=""/>
      <w:lvlJc w:val="left"/>
      <w:pPr>
        <w:ind w:left="3960" w:hanging="360"/>
      </w:pPr>
      <w:rPr>
        <w:rFonts w:ascii="Symbol" w:hAnsi="Symbol" w:hint="default"/>
      </w:rPr>
    </w:lvl>
    <w:lvl w:ilvl="7" w:tplc="04240003" w:tentative="1">
      <w:start w:val="1"/>
      <w:numFmt w:val="bullet"/>
      <w:lvlText w:val="o"/>
      <w:lvlJc w:val="left"/>
      <w:pPr>
        <w:ind w:left="4680" w:hanging="360"/>
      </w:pPr>
      <w:rPr>
        <w:rFonts w:ascii="Courier New" w:hAnsi="Courier New" w:hint="default"/>
      </w:rPr>
    </w:lvl>
    <w:lvl w:ilvl="8" w:tplc="04240005" w:tentative="1">
      <w:start w:val="1"/>
      <w:numFmt w:val="bullet"/>
      <w:lvlText w:val=""/>
      <w:lvlJc w:val="left"/>
      <w:pPr>
        <w:ind w:left="5400" w:hanging="360"/>
      </w:pPr>
      <w:rPr>
        <w:rFonts w:ascii="Wingdings" w:hAnsi="Wingdings" w:hint="default"/>
      </w:rPr>
    </w:lvl>
  </w:abstractNum>
  <w:abstractNum w:abstractNumId="3">
    <w:nsid w:val="1B2B72F7"/>
    <w:multiLevelType w:val="multilevel"/>
    <w:tmpl w:val="2BE40EEA"/>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1D021A24"/>
    <w:multiLevelType w:val="hybridMultilevel"/>
    <w:tmpl w:val="1B8E80D0"/>
    <w:lvl w:ilvl="0" w:tplc="04240001">
      <w:start w:val="1"/>
      <w:numFmt w:val="bullet"/>
      <w:lvlText w:val=""/>
      <w:lvlJc w:val="left"/>
      <w:pPr>
        <w:ind w:left="776" w:hanging="360"/>
      </w:pPr>
      <w:rPr>
        <w:rFonts w:ascii="Symbol" w:hAnsi="Symbol" w:hint="default"/>
      </w:rPr>
    </w:lvl>
    <w:lvl w:ilvl="1" w:tplc="04240003" w:tentative="1">
      <w:start w:val="1"/>
      <w:numFmt w:val="bullet"/>
      <w:lvlText w:val="o"/>
      <w:lvlJc w:val="left"/>
      <w:pPr>
        <w:ind w:left="1496" w:hanging="360"/>
      </w:pPr>
      <w:rPr>
        <w:rFonts w:ascii="Courier New" w:hAnsi="Courier New" w:hint="default"/>
      </w:rPr>
    </w:lvl>
    <w:lvl w:ilvl="2" w:tplc="04240005" w:tentative="1">
      <w:start w:val="1"/>
      <w:numFmt w:val="bullet"/>
      <w:lvlText w:val=""/>
      <w:lvlJc w:val="left"/>
      <w:pPr>
        <w:ind w:left="2216" w:hanging="360"/>
      </w:pPr>
      <w:rPr>
        <w:rFonts w:ascii="Wingdings" w:hAnsi="Wingdings" w:hint="default"/>
      </w:rPr>
    </w:lvl>
    <w:lvl w:ilvl="3" w:tplc="04240001" w:tentative="1">
      <w:start w:val="1"/>
      <w:numFmt w:val="bullet"/>
      <w:lvlText w:val=""/>
      <w:lvlJc w:val="left"/>
      <w:pPr>
        <w:ind w:left="2936" w:hanging="360"/>
      </w:pPr>
      <w:rPr>
        <w:rFonts w:ascii="Symbol" w:hAnsi="Symbol" w:hint="default"/>
      </w:rPr>
    </w:lvl>
    <w:lvl w:ilvl="4" w:tplc="04240003" w:tentative="1">
      <w:start w:val="1"/>
      <w:numFmt w:val="bullet"/>
      <w:lvlText w:val="o"/>
      <w:lvlJc w:val="left"/>
      <w:pPr>
        <w:ind w:left="3656" w:hanging="360"/>
      </w:pPr>
      <w:rPr>
        <w:rFonts w:ascii="Courier New" w:hAnsi="Courier New" w:hint="default"/>
      </w:rPr>
    </w:lvl>
    <w:lvl w:ilvl="5" w:tplc="04240005" w:tentative="1">
      <w:start w:val="1"/>
      <w:numFmt w:val="bullet"/>
      <w:lvlText w:val=""/>
      <w:lvlJc w:val="left"/>
      <w:pPr>
        <w:ind w:left="4376" w:hanging="360"/>
      </w:pPr>
      <w:rPr>
        <w:rFonts w:ascii="Wingdings" w:hAnsi="Wingdings" w:hint="default"/>
      </w:rPr>
    </w:lvl>
    <w:lvl w:ilvl="6" w:tplc="04240001" w:tentative="1">
      <w:start w:val="1"/>
      <w:numFmt w:val="bullet"/>
      <w:lvlText w:val=""/>
      <w:lvlJc w:val="left"/>
      <w:pPr>
        <w:ind w:left="5096" w:hanging="360"/>
      </w:pPr>
      <w:rPr>
        <w:rFonts w:ascii="Symbol" w:hAnsi="Symbol" w:hint="default"/>
      </w:rPr>
    </w:lvl>
    <w:lvl w:ilvl="7" w:tplc="04240003" w:tentative="1">
      <w:start w:val="1"/>
      <w:numFmt w:val="bullet"/>
      <w:lvlText w:val="o"/>
      <w:lvlJc w:val="left"/>
      <w:pPr>
        <w:ind w:left="5816" w:hanging="360"/>
      </w:pPr>
      <w:rPr>
        <w:rFonts w:ascii="Courier New" w:hAnsi="Courier New" w:hint="default"/>
      </w:rPr>
    </w:lvl>
    <w:lvl w:ilvl="8" w:tplc="04240005" w:tentative="1">
      <w:start w:val="1"/>
      <w:numFmt w:val="bullet"/>
      <w:lvlText w:val=""/>
      <w:lvlJc w:val="left"/>
      <w:pPr>
        <w:ind w:left="6536" w:hanging="360"/>
      </w:pPr>
      <w:rPr>
        <w:rFonts w:ascii="Wingdings" w:hAnsi="Wingdings" w:hint="default"/>
      </w:rPr>
    </w:lvl>
  </w:abstractNum>
  <w:abstractNum w:abstractNumId="5">
    <w:nsid w:val="1F412CCA"/>
    <w:multiLevelType w:val="hybridMultilevel"/>
    <w:tmpl w:val="0B8C38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2ED90125"/>
    <w:multiLevelType w:val="hybridMultilevel"/>
    <w:tmpl w:val="496AD012"/>
    <w:lvl w:ilvl="0" w:tplc="04240013">
      <w:start w:val="1"/>
      <w:numFmt w:val="upperRoman"/>
      <w:lvlText w:val="%1."/>
      <w:lvlJc w:val="right"/>
      <w:pPr>
        <w:ind w:left="720" w:hanging="360"/>
      </w:pPr>
      <w:rPr>
        <w:rFonts w:cs="Times New Roman"/>
      </w:rPr>
    </w:lvl>
    <w:lvl w:ilvl="1" w:tplc="04240019">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7">
    <w:nsid w:val="2F5A5D7F"/>
    <w:multiLevelType w:val="hybridMultilevel"/>
    <w:tmpl w:val="4538D09C"/>
    <w:lvl w:ilvl="0" w:tplc="04240001">
      <w:start w:val="1"/>
      <w:numFmt w:val="bullet"/>
      <w:lvlText w:val=""/>
      <w:lvlJc w:val="left"/>
      <w:pPr>
        <w:ind w:left="1080" w:hanging="720"/>
      </w:pPr>
      <w:rPr>
        <w:rFonts w:ascii="Symbol" w:hAnsi="Symbol"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8">
    <w:nsid w:val="34AC728F"/>
    <w:multiLevelType w:val="hybridMultilevel"/>
    <w:tmpl w:val="6FD0FCD2"/>
    <w:lvl w:ilvl="0" w:tplc="04240001">
      <w:start w:val="1"/>
      <w:numFmt w:val="bullet"/>
      <w:lvlText w:val=""/>
      <w:lvlJc w:val="left"/>
      <w:pPr>
        <w:ind w:left="644" w:hanging="360"/>
      </w:pPr>
      <w:rPr>
        <w:rFonts w:ascii="Symbol" w:hAnsi="Symbol" w:hint="default"/>
      </w:rPr>
    </w:lvl>
    <w:lvl w:ilvl="1" w:tplc="04240003" w:tentative="1">
      <w:start w:val="1"/>
      <w:numFmt w:val="bullet"/>
      <w:lvlText w:val="o"/>
      <w:lvlJc w:val="left"/>
      <w:pPr>
        <w:ind w:left="1364" w:hanging="360"/>
      </w:pPr>
      <w:rPr>
        <w:rFonts w:ascii="Courier New" w:hAnsi="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9">
    <w:nsid w:val="362A2EA0"/>
    <w:multiLevelType w:val="hybridMultilevel"/>
    <w:tmpl w:val="EE8AA4F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3932035A"/>
    <w:multiLevelType w:val="hybridMultilevel"/>
    <w:tmpl w:val="9E36E8DA"/>
    <w:lvl w:ilvl="0" w:tplc="C83AFAF6">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1">
    <w:nsid w:val="3E242324"/>
    <w:multiLevelType w:val="hybridMultilevel"/>
    <w:tmpl w:val="CA34E592"/>
    <w:lvl w:ilvl="0" w:tplc="04240001">
      <w:start w:val="1"/>
      <w:numFmt w:val="bullet"/>
      <w:lvlText w:val=""/>
      <w:lvlJc w:val="left"/>
      <w:pPr>
        <w:ind w:left="776" w:hanging="360"/>
      </w:pPr>
      <w:rPr>
        <w:rFonts w:ascii="Symbol" w:hAnsi="Symbol" w:hint="default"/>
      </w:rPr>
    </w:lvl>
    <w:lvl w:ilvl="1" w:tplc="04240003" w:tentative="1">
      <w:start w:val="1"/>
      <w:numFmt w:val="bullet"/>
      <w:lvlText w:val="o"/>
      <w:lvlJc w:val="left"/>
      <w:pPr>
        <w:ind w:left="1496" w:hanging="360"/>
      </w:pPr>
      <w:rPr>
        <w:rFonts w:ascii="Courier New" w:hAnsi="Courier New" w:hint="default"/>
      </w:rPr>
    </w:lvl>
    <w:lvl w:ilvl="2" w:tplc="04240005" w:tentative="1">
      <w:start w:val="1"/>
      <w:numFmt w:val="bullet"/>
      <w:lvlText w:val=""/>
      <w:lvlJc w:val="left"/>
      <w:pPr>
        <w:ind w:left="2216" w:hanging="360"/>
      </w:pPr>
      <w:rPr>
        <w:rFonts w:ascii="Wingdings" w:hAnsi="Wingdings" w:hint="default"/>
      </w:rPr>
    </w:lvl>
    <w:lvl w:ilvl="3" w:tplc="04240001" w:tentative="1">
      <w:start w:val="1"/>
      <w:numFmt w:val="bullet"/>
      <w:lvlText w:val=""/>
      <w:lvlJc w:val="left"/>
      <w:pPr>
        <w:ind w:left="2936" w:hanging="360"/>
      </w:pPr>
      <w:rPr>
        <w:rFonts w:ascii="Symbol" w:hAnsi="Symbol" w:hint="default"/>
      </w:rPr>
    </w:lvl>
    <w:lvl w:ilvl="4" w:tplc="04240003" w:tentative="1">
      <w:start w:val="1"/>
      <w:numFmt w:val="bullet"/>
      <w:lvlText w:val="o"/>
      <w:lvlJc w:val="left"/>
      <w:pPr>
        <w:ind w:left="3656" w:hanging="360"/>
      </w:pPr>
      <w:rPr>
        <w:rFonts w:ascii="Courier New" w:hAnsi="Courier New" w:hint="default"/>
      </w:rPr>
    </w:lvl>
    <w:lvl w:ilvl="5" w:tplc="04240005" w:tentative="1">
      <w:start w:val="1"/>
      <w:numFmt w:val="bullet"/>
      <w:lvlText w:val=""/>
      <w:lvlJc w:val="left"/>
      <w:pPr>
        <w:ind w:left="4376" w:hanging="360"/>
      </w:pPr>
      <w:rPr>
        <w:rFonts w:ascii="Wingdings" w:hAnsi="Wingdings" w:hint="default"/>
      </w:rPr>
    </w:lvl>
    <w:lvl w:ilvl="6" w:tplc="04240001" w:tentative="1">
      <w:start w:val="1"/>
      <w:numFmt w:val="bullet"/>
      <w:lvlText w:val=""/>
      <w:lvlJc w:val="left"/>
      <w:pPr>
        <w:ind w:left="5096" w:hanging="360"/>
      </w:pPr>
      <w:rPr>
        <w:rFonts w:ascii="Symbol" w:hAnsi="Symbol" w:hint="default"/>
      </w:rPr>
    </w:lvl>
    <w:lvl w:ilvl="7" w:tplc="04240003" w:tentative="1">
      <w:start w:val="1"/>
      <w:numFmt w:val="bullet"/>
      <w:lvlText w:val="o"/>
      <w:lvlJc w:val="left"/>
      <w:pPr>
        <w:ind w:left="5816" w:hanging="360"/>
      </w:pPr>
      <w:rPr>
        <w:rFonts w:ascii="Courier New" w:hAnsi="Courier New" w:hint="default"/>
      </w:rPr>
    </w:lvl>
    <w:lvl w:ilvl="8" w:tplc="04240005" w:tentative="1">
      <w:start w:val="1"/>
      <w:numFmt w:val="bullet"/>
      <w:lvlText w:val=""/>
      <w:lvlJc w:val="left"/>
      <w:pPr>
        <w:ind w:left="6536" w:hanging="360"/>
      </w:pPr>
      <w:rPr>
        <w:rFonts w:ascii="Wingdings" w:hAnsi="Wingdings" w:hint="default"/>
      </w:rPr>
    </w:lvl>
  </w:abstractNum>
  <w:abstractNum w:abstractNumId="12">
    <w:nsid w:val="47E441E5"/>
    <w:multiLevelType w:val="hybridMultilevel"/>
    <w:tmpl w:val="6082B358"/>
    <w:lvl w:ilvl="0" w:tplc="04240001">
      <w:start w:val="1"/>
      <w:numFmt w:val="bullet"/>
      <w:lvlText w:val=""/>
      <w:lvlJc w:val="left"/>
      <w:pPr>
        <w:ind w:left="940" w:hanging="360"/>
      </w:pPr>
      <w:rPr>
        <w:rFonts w:ascii="Symbol" w:hAnsi="Symbol" w:hint="default"/>
      </w:rPr>
    </w:lvl>
    <w:lvl w:ilvl="1" w:tplc="04240003" w:tentative="1">
      <w:start w:val="1"/>
      <w:numFmt w:val="bullet"/>
      <w:lvlText w:val="o"/>
      <w:lvlJc w:val="left"/>
      <w:pPr>
        <w:ind w:left="1660" w:hanging="360"/>
      </w:pPr>
      <w:rPr>
        <w:rFonts w:ascii="Courier New" w:hAnsi="Courier New" w:hint="default"/>
      </w:rPr>
    </w:lvl>
    <w:lvl w:ilvl="2" w:tplc="04240005" w:tentative="1">
      <w:start w:val="1"/>
      <w:numFmt w:val="bullet"/>
      <w:lvlText w:val=""/>
      <w:lvlJc w:val="left"/>
      <w:pPr>
        <w:ind w:left="2380" w:hanging="360"/>
      </w:pPr>
      <w:rPr>
        <w:rFonts w:ascii="Wingdings" w:hAnsi="Wingdings" w:hint="default"/>
      </w:rPr>
    </w:lvl>
    <w:lvl w:ilvl="3" w:tplc="04240001" w:tentative="1">
      <w:start w:val="1"/>
      <w:numFmt w:val="bullet"/>
      <w:lvlText w:val=""/>
      <w:lvlJc w:val="left"/>
      <w:pPr>
        <w:ind w:left="3100" w:hanging="360"/>
      </w:pPr>
      <w:rPr>
        <w:rFonts w:ascii="Symbol" w:hAnsi="Symbol" w:hint="default"/>
      </w:rPr>
    </w:lvl>
    <w:lvl w:ilvl="4" w:tplc="04240003" w:tentative="1">
      <w:start w:val="1"/>
      <w:numFmt w:val="bullet"/>
      <w:lvlText w:val="o"/>
      <w:lvlJc w:val="left"/>
      <w:pPr>
        <w:ind w:left="3820" w:hanging="360"/>
      </w:pPr>
      <w:rPr>
        <w:rFonts w:ascii="Courier New" w:hAnsi="Courier New" w:hint="default"/>
      </w:rPr>
    </w:lvl>
    <w:lvl w:ilvl="5" w:tplc="04240005" w:tentative="1">
      <w:start w:val="1"/>
      <w:numFmt w:val="bullet"/>
      <w:lvlText w:val=""/>
      <w:lvlJc w:val="left"/>
      <w:pPr>
        <w:ind w:left="4540" w:hanging="360"/>
      </w:pPr>
      <w:rPr>
        <w:rFonts w:ascii="Wingdings" w:hAnsi="Wingdings" w:hint="default"/>
      </w:rPr>
    </w:lvl>
    <w:lvl w:ilvl="6" w:tplc="04240001" w:tentative="1">
      <w:start w:val="1"/>
      <w:numFmt w:val="bullet"/>
      <w:lvlText w:val=""/>
      <w:lvlJc w:val="left"/>
      <w:pPr>
        <w:ind w:left="5260" w:hanging="360"/>
      </w:pPr>
      <w:rPr>
        <w:rFonts w:ascii="Symbol" w:hAnsi="Symbol" w:hint="default"/>
      </w:rPr>
    </w:lvl>
    <w:lvl w:ilvl="7" w:tplc="04240003" w:tentative="1">
      <w:start w:val="1"/>
      <w:numFmt w:val="bullet"/>
      <w:lvlText w:val="o"/>
      <w:lvlJc w:val="left"/>
      <w:pPr>
        <w:ind w:left="5980" w:hanging="360"/>
      </w:pPr>
      <w:rPr>
        <w:rFonts w:ascii="Courier New" w:hAnsi="Courier New" w:hint="default"/>
      </w:rPr>
    </w:lvl>
    <w:lvl w:ilvl="8" w:tplc="04240005" w:tentative="1">
      <w:start w:val="1"/>
      <w:numFmt w:val="bullet"/>
      <w:lvlText w:val=""/>
      <w:lvlJc w:val="left"/>
      <w:pPr>
        <w:ind w:left="6700" w:hanging="360"/>
      </w:pPr>
      <w:rPr>
        <w:rFonts w:ascii="Wingdings" w:hAnsi="Wingdings" w:hint="default"/>
      </w:rPr>
    </w:lvl>
  </w:abstractNum>
  <w:abstractNum w:abstractNumId="13">
    <w:nsid w:val="494A4FFC"/>
    <w:multiLevelType w:val="hybridMultilevel"/>
    <w:tmpl w:val="6C427F38"/>
    <w:lvl w:ilvl="0" w:tplc="2C96BFA6">
      <w:numFmt w:val="bullet"/>
      <w:lvlText w:val="–"/>
      <w:lvlJc w:val="left"/>
      <w:pPr>
        <w:ind w:left="360" w:hanging="360"/>
      </w:pPr>
      <w:rPr>
        <w:rFonts w:ascii="Calibri" w:eastAsia="Times New Roman" w:hAnsi="Calibri" w:hint="default"/>
      </w:rPr>
    </w:lvl>
    <w:lvl w:ilvl="1" w:tplc="04240003" w:tentative="1">
      <w:start w:val="1"/>
      <w:numFmt w:val="bullet"/>
      <w:lvlText w:val="o"/>
      <w:lvlJc w:val="left"/>
      <w:pPr>
        <w:ind w:left="360" w:hanging="360"/>
      </w:pPr>
      <w:rPr>
        <w:rFonts w:ascii="Courier New" w:hAnsi="Courier New" w:hint="default"/>
      </w:rPr>
    </w:lvl>
    <w:lvl w:ilvl="2" w:tplc="04240005" w:tentative="1">
      <w:start w:val="1"/>
      <w:numFmt w:val="bullet"/>
      <w:lvlText w:val=""/>
      <w:lvlJc w:val="left"/>
      <w:pPr>
        <w:ind w:left="1080" w:hanging="360"/>
      </w:pPr>
      <w:rPr>
        <w:rFonts w:ascii="Wingdings" w:hAnsi="Wingdings" w:hint="default"/>
      </w:rPr>
    </w:lvl>
    <w:lvl w:ilvl="3" w:tplc="04240001" w:tentative="1">
      <w:start w:val="1"/>
      <w:numFmt w:val="bullet"/>
      <w:lvlText w:val=""/>
      <w:lvlJc w:val="left"/>
      <w:pPr>
        <w:ind w:left="1800" w:hanging="360"/>
      </w:pPr>
      <w:rPr>
        <w:rFonts w:ascii="Symbol" w:hAnsi="Symbol" w:hint="default"/>
      </w:rPr>
    </w:lvl>
    <w:lvl w:ilvl="4" w:tplc="04240003" w:tentative="1">
      <w:start w:val="1"/>
      <w:numFmt w:val="bullet"/>
      <w:lvlText w:val="o"/>
      <w:lvlJc w:val="left"/>
      <w:pPr>
        <w:ind w:left="2520" w:hanging="360"/>
      </w:pPr>
      <w:rPr>
        <w:rFonts w:ascii="Courier New" w:hAnsi="Courier New" w:hint="default"/>
      </w:rPr>
    </w:lvl>
    <w:lvl w:ilvl="5" w:tplc="04240005" w:tentative="1">
      <w:start w:val="1"/>
      <w:numFmt w:val="bullet"/>
      <w:lvlText w:val=""/>
      <w:lvlJc w:val="left"/>
      <w:pPr>
        <w:ind w:left="3240" w:hanging="360"/>
      </w:pPr>
      <w:rPr>
        <w:rFonts w:ascii="Wingdings" w:hAnsi="Wingdings" w:hint="default"/>
      </w:rPr>
    </w:lvl>
    <w:lvl w:ilvl="6" w:tplc="04240001" w:tentative="1">
      <w:start w:val="1"/>
      <w:numFmt w:val="bullet"/>
      <w:lvlText w:val=""/>
      <w:lvlJc w:val="left"/>
      <w:pPr>
        <w:ind w:left="3960" w:hanging="360"/>
      </w:pPr>
      <w:rPr>
        <w:rFonts w:ascii="Symbol" w:hAnsi="Symbol" w:hint="default"/>
      </w:rPr>
    </w:lvl>
    <w:lvl w:ilvl="7" w:tplc="04240003" w:tentative="1">
      <w:start w:val="1"/>
      <w:numFmt w:val="bullet"/>
      <w:lvlText w:val="o"/>
      <w:lvlJc w:val="left"/>
      <w:pPr>
        <w:ind w:left="4680" w:hanging="360"/>
      </w:pPr>
      <w:rPr>
        <w:rFonts w:ascii="Courier New" w:hAnsi="Courier New" w:hint="default"/>
      </w:rPr>
    </w:lvl>
    <w:lvl w:ilvl="8" w:tplc="04240005" w:tentative="1">
      <w:start w:val="1"/>
      <w:numFmt w:val="bullet"/>
      <w:lvlText w:val=""/>
      <w:lvlJc w:val="left"/>
      <w:pPr>
        <w:ind w:left="5400" w:hanging="360"/>
      </w:pPr>
      <w:rPr>
        <w:rFonts w:ascii="Wingdings" w:hAnsi="Wingdings" w:hint="default"/>
      </w:rPr>
    </w:lvl>
  </w:abstractNum>
  <w:abstractNum w:abstractNumId="14">
    <w:nsid w:val="4DCD6706"/>
    <w:multiLevelType w:val="hybridMultilevel"/>
    <w:tmpl w:val="34E8F57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5B0476DB"/>
    <w:multiLevelType w:val="hybridMultilevel"/>
    <w:tmpl w:val="C5E8D734"/>
    <w:lvl w:ilvl="0" w:tplc="349E046A">
      <w:start w:val="175"/>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6D3133CB"/>
    <w:multiLevelType w:val="multilevel"/>
    <w:tmpl w:val="2F68EF76"/>
    <w:lvl w:ilvl="0">
      <w:start w:val="1"/>
      <w:numFmt w:val="decimal"/>
      <w:pStyle w:val="Heading1"/>
      <w:lvlText w:val="%1."/>
      <w:lvlJc w:val="left"/>
      <w:pPr>
        <w:ind w:left="360" w:hanging="360"/>
      </w:pPr>
      <w:rPr>
        <w:rFonts w:cs="Times New Roman"/>
      </w:rPr>
    </w:lvl>
    <w:lvl w:ilvl="1">
      <w:start w:val="1"/>
      <w:numFmt w:val="decimal"/>
      <w:pStyle w:val="Heading2"/>
      <w:lvlText w:val="%1.%2."/>
      <w:lvlJc w:val="left"/>
      <w:pPr>
        <w:ind w:left="792" w:hanging="432"/>
      </w:pPr>
      <w:rPr>
        <w:rFonts w:cs="Times New Roman"/>
      </w:rPr>
    </w:lvl>
    <w:lvl w:ilvl="2">
      <w:start w:val="1"/>
      <w:numFmt w:val="decimal"/>
      <w:pStyle w:val="Heading3"/>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78EF39A4"/>
    <w:multiLevelType w:val="multilevel"/>
    <w:tmpl w:val="0424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6"/>
  </w:num>
  <w:num w:numId="2">
    <w:abstractNumId w:val="3"/>
  </w:num>
  <w:num w:numId="3">
    <w:abstractNumId w:val="17"/>
  </w:num>
  <w:num w:numId="4">
    <w:abstractNumId w:val="10"/>
  </w:num>
  <w:num w:numId="5">
    <w:abstractNumId w:val="0"/>
  </w:num>
  <w:num w:numId="6">
    <w:abstractNumId w:val="2"/>
  </w:num>
  <w:num w:numId="7">
    <w:abstractNumId w:val="13"/>
  </w:num>
  <w:num w:numId="8">
    <w:abstractNumId w:val="9"/>
  </w:num>
  <w:num w:numId="9">
    <w:abstractNumId w:val="6"/>
  </w:num>
  <w:num w:numId="10">
    <w:abstractNumId w:val="7"/>
  </w:num>
  <w:num w:numId="11">
    <w:abstractNumId w:val="8"/>
  </w:num>
  <w:num w:numId="12">
    <w:abstractNumId w:val="11"/>
  </w:num>
  <w:num w:numId="13">
    <w:abstractNumId w:val="5"/>
  </w:num>
  <w:num w:numId="14">
    <w:abstractNumId w:val="4"/>
  </w:num>
  <w:num w:numId="15">
    <w:abstractNumId w:val="14"/>
  </w:num>
  <w:num w:numId="16">
    <w:abstractNumId w:val="1"/>
  </w:num>
  <w:num w:numId="17">
    <w:abstractNumId w:val="12"/>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785A"/>
    <w:rsid w:val="00021468"/>
    <w:rsid w:val="00026847"/>
    <w:rsid w:val="00031E3D"/>
    <w:rsid w:val="000449CF"/>
    <w:rsid w:val="00047917"/>
    <w:rsid w:val="00054A7E"/>
    <w:rsid w:val="00057BD3"/>
    <w:rsid w:val="00071DC0"/>
    <w:rsid w:val="0007302D"/>
    <w:rsid w:val="000846BB"/>
    <w:rsid w:val="00086F26"/>
    <w:rsid w:val="00087CF4"/>
    <w:rsid w:val="000A2123"/>
    <w:rsid w:val="000A2B83"/>
    <w:rsid w:val="000B22A8"/>
    <w:rsid w:val="000D699C"/>
    <w:rsid w:val="000E0BED"/>
    <w:rsid w:val="00102AF5"/>
    <w:rsid w:val="00102CE2"/>
    <w:rsid w:val="00105A13"/>
    <w:rsid w:val="00131606"/>
    <w:rsid w:val="001318E9"/>
    <w:rsid w:val="001505FB"/>
    <w:rsid w:val="00151D5F"/>
    <w:rsid w:val="00154A51"/>
    <w:rsid w:val="00156EB7"/>
    <w:rsid w:val="00164632"/>
    <w:rsid w:val="00185DC4"/>
    <w:rsid w:val="001A06AB"/>
    <w:rsid w:val="001A0A9B"/>
    <w:rsid w:val="001A7EFD"/>
    <w:rsid w:val="001E4D21"/>
    <w:rsid w:val="001F7FDD"/>
    <w:rsid w:val="00201092"/>
    <w:rsid w:val="00204E8F"/>
    <w:rsid w:val="0021543F"/>
    <w:rsid w:val="002241C5"/>
    <w:rsid w:val="00233789"/>
    <w:rsid w:val="00240541"/>
    <w:rsid w:val="002452DB"/>
    <w:rsid w:val="002515F9"/>
    <w:rsid w:val="00264631"/>
    <w:rsid w:val="00267ED4"/>
    <w:rsid w:val="00295557"/>
    <w:rsid w:val="002A1040"/>
    <w:rsid w:val="002A2B2C"/>
    <w:rsid w:val="002A6860"/>
    <w:rsid w:val="002B28B2"/>
    <w:rsid w:val="002B55CE"/>
    <w:rsid w:val="002C3DEC"/>
    <w:rsid w:val="002C79B8"/>
    <w:rsid w:val="002D3286"/>
    <w:rsid w:val="002D6D8F"/>
    <w:rsid w:val="002F600D"/>
    <w:rsid w:val="00306547"/>
    <w:rsid w:val="00341F25"/>
    <w:rsid w:val="003460F8"/>
    <w:rsid w:val="00373086"/>
    <w:rsid w:val="00374EF3"/>
    <w:rsid w:val="00387D77"/>
    <w:rsid w:val="003A2090"/>
    <w:rsid w:val="003A3D13"/>
    <w:rsid w:val="003B1FA7"/>
    <w:rsid w:val="003B65AE"/>
    <w:rsid w:val="003B70F7"/>
    <w:rsid w:val="003C709E"/>
    <w:rsid w:val="003C7DE5"/>
    <w:rsid w:val="003D5AA5"/>
    <w:rsid w:val="003D69B0"/>
    <w:rsid w:val="003D7127"/>
    <w:rsid w:val="003D785A"/>
    <w:rsid w:val="003F7F44"/>
    <w:rsid w:val="00406422"/>
    <w:rsid w:val="00407630"/>
    <w:rsid w:val="00421615"/>
    <w:rsid w:val="004320BE"/>
    <w:rsid w:val="00441EA1"/>
    <w:rsid w:val="00465B78"/>
    <w:rsid w:val="00470010"/>
    <w:rsid w:val="00472BD3"/>
    <w:rsid w:val="00497F75"/>
    <w:rsid w:val="004A220F"/>
    <w:rsid w:val="004B4F21"/>
    <w:rsid w:val="004B7956"/>
    <w:rsid w:val="004D26FC"/>
    <w:rsid w:val="00506911"/>
    <w:rsid w:val="005200C3"/>
    <w:rsid w:val="00540E99"/>
    <w:rsid w:val="00583BEB"/>
    <w:rsid w:val="00591D17"/>
    <w:rsid w:val="005B215E"/>
    <w:rsid w:val="005B2262"/>
    <w:rsid w:val="005B7F99"/>
    <w:rsid w:val="005C0BAF"/>
    <w:rsid w:val="005C250F"/>
    <w:rsid w:val="005C2C85"/>
    <w:rsid w:val="005D5884"/>
    <w:rsid w:val="005F4355"/>
    <w:rsid w:val="006027F5"/>
    <w:rsid w:val="006044B8"/>
    <w:rsid w:val="006360C5"/>
    <w:rsid w:val="006364B6"/>
    <w:rsid w:val="00644B05"/>
    <w:rsid w:val="00645527"/>
    <w:rsid w:val="006513D1"/>
    <w:rsid w:val="0065305F"/>
    <w:rsid w:val="006628CE"/>
    <w:rsid w:val="00671FD8"/>
    <w:rsid w:val="00685C61"/>
    <w:rsid w:val="006F680C"/>
    <w:rsid w:val="007021FD"/>
    <w:rsid w:val="00707B9B"/>
    <w:rsid w:val="00710870"/>
    <w:rsid w:val="0072751B"/>
    <w:rsid w:val="00734D3C"/>
    <w:rsid w:val="007355CF"/>
    <w:rsid w:val="007555D7"/>
    <w:rsid w:val="00770399"/>
    <w:rsid w:val="00777BC7"/>
    <w:rsid w:val="00791501"/>
    <w:rsid w:val="00793467"/>
    <w:rsid w:val="007B18A8"/>
    <w:rsid w:val="007C0D28"/>
    <w:rsid w:val="007C0E76"/>
    <w:rsid w:val="007E242B"/>
    <w:rsid w:val="00805997"/>
    <w:rsid w:val="00805B41"/>
    <w:rsid w:val="00806878"/>
    <w:rsid w:val="00811117"/>
    <w:rsid w:val="00813DD8"/>
    <w:rsid w:val="00831ACB"/>
    <w:rsid w:val="008335B7"/>
    <w:rsid w:val="00833D56"/>
    <w:rsid w:val="008344FB"/>
    <w:rsid w:val="00860685"/>
    <w:rsid w:val="00874827"/>
    <w:rsid w:val="0088550D"/>
    <w:rsid w:val="008A55F7"/>
    <w:rsid w:val="008B75E2"/>
    <w:rsid w:val="008C08FF"/>
    <w:rsid w:val="008D103D"/>
    <w:rsid w:val="008D18BD"/>
    <w:rsid w:val="008E1BD1"/>
    <w:rsid w:val="008F174C"/>
    <w:rsid w:val="008F5C05"/>
    <w:rsid w:val="00903CC6"/>
    <w:rsid w:val="00910FA6"/>
    <w:rsid w:val="009304C4"/>
    <w:rsid w:val="0094569F"/>
    <w:rsid w:val="009547BA"/>
    <w:rsid w:val="00960321"/>
    <w:rsid w:val="0097045A"/>
    <w:rsid w:val="00977947"/>
    <w:rsid w:val="00984360"/>
    <w:rsid w:val="00984623"/>
    <w:rsid w:val="00990DC4"/>
    <w:rsid w:val="0099415E"/>
    <w:rsid w:val="00996853"/>
    <w:rsid w:val="009A1128"/>
    <w:rsid w:val="009B1CA1"/>
    <w:rsid w:val="009B1F65"/>
    <w:rsid w:val="009B251E"/>
    <w:rsid w:val="009B5DD2"/>
    <w:rsid w:val="009C0729"/>
    <w:rsid w:val="009C6F21"/>
    <w:rsid w:val="009D50E5"/>
    <w:rsid w:val="009D5765"/>
    <w:rsid w:val="009E27B7"/>
    <w:rsid w:val="009E283B"/>
    <w:rsid w:val="009E2ADF"/>
    <w:rsid w:val="009E67A1"/>
    <w:rsid w:val="00A003DD"/>
    <w:rsid w:val="00A13E1C"/>
    <w:rsid w:val="00A27DF4"/>
    <w:rsid w:val="00A33924"/>
    <w:rsid w:val="00A81E78"/>
    <w:rsid w:val="00A825ED"/>
    <w:rsid w:val="00A834C3"/>
    <w:rsid w:val="00A97586"/>
    <w:rsid w:val="00AA7624"/>
    <w:rsid w:val="00AB0187"/>
    <w:rsid w:val="00AB1EAF"/>
    <w:rsid w:val="00AC3D35"/>
    <w:rsid w:val="00AC6045"/>
    <w:rsid w:val="00AD3B97"/>
    <w:rsid w:val="00AE615C"/>
    <w:rsid w:val="00AF44AF"/>
    <w:rsid w:val="00B042FE"/>
    <w:rsid w:val="00B04C27"/>
    <w:rsid w:val="00B04FAC"/>
    <w:rsid w:val="00B37C76"/>
    <w:rsid w:val="00B427F4"/>
    <w:rsid w:val="00B472B7"/>
    <w:rsid w:val="00B847AC"/>
    <w:rsid w:val="00B850A4"/>
    <w:rsid w:val="00B908A6"/>
    <w:rsid w:val="00BB0452"/>
    <w:rsid w:val="00BC2520"/>
    <w:rsid w:val="00BE4F15"/>
    <w:rsid w:val="00BF1046"/>
    <w:rsid w:val="00BF1579"/>
    <w:rsid w:val="00BF1C77"/>
    <w:rsid w:val="00C05F28"/>
    <w:rsid w:val="00C108EE"/>
    <w:rsid w:val="00C22296"/>
    <w:rsid w:val="00C246A8"/>
    <w:rsid w:val="00C276A2"/>
    <w:rsid w:val="00C33113"/>
    <w:rsid w:val="00C427C9"/>
    <w:rsid w:val="00C45962"/>
    <w:rsid w:val="00C570E5"/>
    <w:rsid w:val="00C66859"/>
    <w:rsid w:val="00C73AB1"/>
    <w:rsid w:val="00C77539"/>
    <w:rsid w:val="00C90864"/>
    <w:rsid w:val="00CB51F0"/>
    <w:rsid w:val="00CC23BF"/>
    <w:rsid w:val="00CD0A02"/>
    <w:rsid w:val="00CD0CB9"/>
    <w:rsid w:val="00CE25E8"/>
    <w:rsid w:val="00D025BE"/>
    <w:rsid w:val="00D1139A"/>
    <w:rsid w:val="00D2359F"/>
    <w:rsid w:val="00D64710"/>
    <w:rsid w:val="00D93AA0"/>
    <w:rsid w:val="00DA027B"/>
    <w:rsid w:val="00DA287C"/>
    <w:rsid w:val="00DB5281"/>
    <w:rsid w:val="00DB6A70"/>
    <w:rsid w:val="00DC1D2E"/>
    <w:rsid w:val="00DC4F5D"/>
    <w:rsid w:val="00DD4A7C"/>
    <w:rsid w:val="00DD4B83"/>
    <w:rsid w:val="00DE4644"/>
    <w:rsid w:val="00DE509F"/>
    <w:rsid w:val="00DE5F3E"/>
    <w:rsid w:val="00E34960"/>
    <w:rsid w:val="00E42201"/>
    <w:rsid w:val="00E45334"/>
    <w:rsid w:val="00E47C25"/>
    <w:rsid w:val="00E517A5"/>
    <w:rsid w:val="00E57CF4"/>
    <w:rsid w:val="00E6700B"/>
    <w:rsid w:val="00E76AA6"/>
    <w:rsid w:val="00E77514"/>
    <w:rsid w:val="00E9214C"/>
    <w:rsid w:val="00E9614A"/>
    <w:rsid w:val="00E97343"/>
    <w:rsid w:val="00EB1F9B"/>
    <w:rsid w:val="00EC277E"/>
    <w:rsid w:val="00EC6A7D"/>
    <w:rsid w:val="00ED0B32"/>
    <w:rsid w:val="00EE0269"/>
    <w:rsid w:val="00EE1B97"/>
    <w:rsid w:val="00EE4707"/>
    <w:rsid w:val="00EF19A5"/>
    <w:rsid w:val="00F002E6"/>
    <w:rsid w:val="00F00A0F"/>
    <w:rsid w:val="00F00BF1"/>
    <w:rsid w:val="00F028EE"/>
    <w:rsid w:val="00F03723"/>
    <w:rsid w:val="00F03B54"/>
    <w:rsid w:val="00F10251"/>
    <w:rsid w:val="00F11B20"/>
    <w:rsid w:val="00F165DF"/>
    <w:rsid w:val="00F41EE7"/>
    <w:rsid w:val="00F4524E"/>
    <w:rsid w:val="00F45BC3"/>
    <w:rsid w:val="00F5048F"/>
    <w:rsid w:val="00F5264E"/>
    <w:rsid w:val="00F52C63"/>
    <w:rsid w:val="00F56C3B"/>
    <w:rsid w:val="00F632F3"/>
    <w:rsid w:val="00F75B4E"/>
    <w:rsid w:val="00F805B3"/>
    <w:rsid w:val="00F82B64"/>
    <w:rsid w:val="00F85C0A"/>
    <w:rsid w:val="00F944C3"/>
    <w:rsid w:val="00FA1018"/>
    <w:rsid w:val="00FB752F"/>
    <w:rsid w:val="00FD57FC"/>
    <w:rsid w:val="00FF31EA"/>
  </w:rsids>
  <m:mathPr>
    <m:mathFont m:val="Cambria Math"/>
    <m:brkBin m:val="before"/>
    <m:brkBinSub m:val="--"/>
    <m:smallFrac m:val="off"/>
    <m:dispDef/>
    <m:lMargin m:val="0"/>
    <m:rMargin m:val="0"/>
    <m:defJc m:val="centerGroup"/>
    <m:wrapIndent m:val="1440"/>
    <m:intLim m:val="subSup"/>
    <m:naryLim m:val="undOvr"/>
  </m:mathPr>
  <w:uiCompat97To2003/>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295557"/>
    <w:pPr>
      <w:spacing w:after="200" w:line="276" w:lineRule="auto"/>
      <w:jc w:val="both"/>
    </w:pPr>
    <w:rPr>
      <w:lang w:eastAsia="en-US"/>
    </w:rPr>
  </w:style>
  <w:style w:type="paragraph" w:styleId="Heading1">
    <w:name w:val="heading 1"/>
    <w:basedOn w:val="Normal"/>
    <w:next w:val="Normal"/>
    <w:link w:val="Heading1Char"/>
    <w:uiPriority w:val="99"/>
    <w:qFormat/>
    <w:rsid w:val="00CE25E8"/>
    <w:pPr>
      <w:keepNext/>
      <w:keepLines/>
      <w:numPr>
        <w:numId w:val="1"/>
      </w:numPr>
      <w:spacing w:before="480" w:after="0"/>
      <w:outlineLvl w:val="0"/>
    </w:pPr>
    <w:rPr>
      <w:rFonts w:ascii="Cambria" w:eastAsia="Times New Roman" w:hAnsi="Cambria"/>
      <w:b/>
      <w:bCs/>
      <w:color w:val="365F91"/>
      <w:sz w:val="28"/>
      <w:szCs w:val="28"/>
    </w:rPr>
  </w:style>
  <w:style w:type="paragraph" w:styleId="Heading2">
    <w:name w:val="heading 2"/>
    <w:basedOn w:val="Heading1"/>
    <w:next w:val="Normal"/>
    <w:link w:val="Heading2Char"/>
    <w:uiPriority w:val="99"/>
    <w:qFormat/>
    <w:rsid w:val="00A33924"/>
    <w:pPr>
      <w:numPr>
        <w:ilvl w:val="1"/>
      </w:numPr>
      <w:ind w:left="641" w:hanging="641"/>
      <w:outlineLvl w:val="1"/>
    </w:pPr>
  </w:style>
  <w:style w:type="paragraph" w:styleId="Heading3">
    <w:name w:val="heading 3"/>
    <w:basedOn w:val="Heading2"/>
    <w:next w:val="Normal"/>
    <w:link w:val="Heading3Char"/>
    <w:uiPriority w:val="99"/>
    <w:qFormat/>
    <w:rsid w:val="00F85C0A"/>
    <w:pPr>
      <w:numPr>
        <w:ilvl w:val="2"/>
      </w:numPr>
      <w:ind w:left="993" w:hanging="993"/>
      <w:outlineLvl w:val="2"/>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E25E8"/>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A33924"/>
    <w:rPr>
      <w:rFonts w:ascii="Cambria" w:hAnsi="Cambria" w:cs="Times New Roman"/>
      <w:b/>
      <w:bCs/>
      <w:color w:val="365F91"/>
      <w:sz w:val="28"/>
      <w:szCs w:val="28"/>
    </w:rPr>
  </w:style>
  <w:style w:type="character" w:customStyle="1" w:styleId="Heading3Char">
    <w:name w:val="Heading 3 Char"/>
    <w:basedOn w:val="DefaultParagraphFont"/>
    <w:link w:val="Heading3"/>
    <w:uiPriority w:val="99"/>
    <w:locked/>
    <w:rsid w:val="00F85C0A"/>
    <w:rPr>
      <w:rFonts w:ascii="Cambria" w:hAnsi="Cambria" w:cs="Times New Roman"/>
      <w:b/>
      <w:bCs/>
      <w:color w:val="365F91"/>
      <w:sz w:val="28"/>
      <w:szCs w:val="28"/>
    </w:rPr>
  </w:style>
  <w:style w:type="paragraph" w:styleId="BalloonText">
    <w:name w:val="Balloon Text"/>
    <w:basedOn w:val="Normal"/>
    <w:link w:val="BalloonTextChar"/>
    <w:uiPriority w:val="99"/>
    <w:semiHidden/>
    <w:rsid w:val="003D78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D785A"/>
    <w:rPr>
      <w:rFonts w:ascii="Tahoma" w:hAnsi="Tahoma" w:cs="Tahoma"/>
      <w:sz w:val="16"/>
      <w:szCs w:val="16"/>
    </w:rPr>
  </w:style>
  <w:style w:type="paragraph" w:styleId="Caption">
    <w:name w:val="caption"/>
    <w:basedOn w:val="Normal"/>
    <w:next w:val="Normal"/>
    <w:uiPriority w:val="99"/>
    <w:qFormat/>
    <w:rsid w:val="00470010"/>
    <w:pPr>
      <w:spacing w:line="240" w:lineRule="auto"/>
    </w:pPr>
    <w:rPr>
      <w:b/>
      <w:bCs/>
      <w:color w:val="4F81BD"/>
      <w:sz w:val="18"/>
      <w:szCs w:val="18"/>
    </w:rPr>
  </w:style>
  <w:style w:type="paragraph" w:styleId="ListParagraph">
    <w:name w:val="List Paragraph"/>
    <w:basedOn w:val="Normal"/>
    <w:uiPriority w:val="99"/>
    <w:qFormat/>
    <w:rsid w:val="00A825ED"/>
    <w:pPr>
      <w:ind w:left="720"/>
      <w:contextualSpacing/>
    </w:pPr>
  </w:style>
  <w:style w:type="character" w:styleId="Emphasis">
    <w:name w:val="Emphasis"/>
    <w:basedOn w:val="DefaultParagraphFont"/>
    <w:uiPriority w:val="99"/>
    <w:qFormat/>
    <w:rsid w:val="00295557"/>
    <w:rPr>
      <w:rFonts w:cs="Times New Roman"/>
      <w:i/>
      <w:iCs/>
    </w:rPr>
  </w:style>
  <w:style w:type="character" w:styleId="Strong">
    <w:name w:val="Strong"/>
    <w:basedOn w:val="DefaultParagraphFont"/>
    <w:uiPriority w:val="99"/>
    <w:qFormat/>
    <w:rsid w:val="00295557"/>
    <w:rPr>
      <w:rFonts w:cs="Times New Roman"/>
      <w:b/>
      <w:bCs/>
    </w:rPr>
  </w:style>
  <w:style w:type="paragraph" w:styleId="Title">
    <w:name w:val="Title"/>
    <w:basedOn w:val="Normal"/>
    <w:next w:val="Normal"/>
    <w:link w:val="TitleChar"/>
    <w:uiPriority w:val="99"/>
    <w:qFormat/>
    <w:rsid w:val="00295557"/>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295557"/>
    <w:rPr>
      <w:rFonts w:ascii="Cambria" w:hAnsi="Cambria" w:cs="Times New Roman"/>
      <w:color w:val="17365D"/>
      <w:spacing w:val="5"/>
      <w:kern w:val="28"/>
      <w:sz w:val="52"/>
      <w:szCs w:val="52"/>
    </w:rPr>
  </w:style>
  <w:style w:type="paragraph" w:styleId="TOCHeading">
    <w:name w:val="TOC Heading"/>
    <w:basedOn w:val="Heading1"/>
    <w:next w:val="Normal"/>
    <w:uiPriority w:val="99"/>
    <w:qFormat/>
    <w:rsid w:val="00465B78"/>
    <w:pPr>
      <w:numPr>
        <w:numId w:val="0"/>
      </w:numPr>
      <w:jc w:val="left"/>
      <w:outlineLvl w:val="9"/>
    </w:pPr>
    <w:rPr>
      <w:lang w:eastAsia="sl-SI"/>
    </w:rPr>
  </w:style>
  <w:style w:type="paragraph" w:styleId="TOC2">
    <w:name w:val="toc 2"/>
    <w:basedOn w:val="Normal"/>
    <w:next w:val="Normal"/>
    <w:autoRedefine/>
    <w:uiPriority w:val="99"/>
    <w:rsid w:val="00465B78"/>
    <w:pPr>
      <w:spacing w:after="100"/>
      <w:ind w:left="220"/>
      <w:jc w:val="left"/>
    </w:pPr>
    <w:rPr>
      <w:rFonts w:eastAsia="Times New Roman"/>
      <w:lang w:eastAsia="sl-SI"/>
    </w:rPr>
  </w:style>
  <w:style w:type="paragraph" w:styleId="TOC1">
    <w:name w:val="toc 1"/>
    <w:basedOn w:val="Normal"/>
    <w:next w:val="Normal"/>
    <w:autoRedefine/>
    <w:uiPriority w:val="99"/>
    <w:rsid w:val="00465B78"/>
    <w:pPr>
      <w:spacing w:after="100"/>
      <w:jc w:val="left"/>
    </w:pPr>
    <w:rPr>
      <w:rFonts w:eastAsia="Times New Roman"/>
      <w:lang w:eastAsia="sl-SI"/>
    </w:rPr>
  </w:style>
  <w:style w:type="paragraph" w:styleId="TOC3">
    <w:name w:val="toc 3"/>
    <w:basedOn w:val="Normal"/>
    <w:next w:val="Normal"/>
    <w:autoRedefine/>
    <w:uiPriority w:val="99"/>
    <w:rsid w:val="00465B78"/>
    <w:pPr>
      <w:spacing w:after="100"/>
      <w:ind w:left="440"/>
      <w:jc w:val="left"/>
    </w:pPr>
    <w:rPr>
      <w:rFonts w:eastAsia="Times New Roman"/>
      <w:lang w:eastAsia="sl-SI"/>
    </w:rPr>
  </w:style>
  <w:style w:type="character" w:styleId="Hyperlink">
    <w:name w:val="Hyperlink"/>
    <w:basedOn w:val="DefaultParagraphFont"/>
    <w:uiPriority w:val="99"/>
    <w:rsid w:val="00465B78"/>
    <w:rPr>
      <w:rFonts w:cs="Times New Roman"/>
      <w:color w:val="0000FF"/>
      <w:u w:val="single"/>
    </w:rPr>
  </w:style>
  <w:style w:type="paragraph" w:styleId="Quote">
    <w:name w:val="Quote"/>
    <w:basedOn w:val="Normal"/>
    <w:next w:val="Normal"/>
    <w:link w:val="QuoteChar"/>
    <w:uiPriority w:val="99"/>
    <w:qFormat/>
    <w:rsid w:val="002A1040"/>
    <w:rPr>
      <w:i/>
      <w:iCs/>
      <w:color w:val="000000"/>
    </w:rPr>
  </w:style>
  <w:style w:type="character" w:customStyle="1" w:styleId="QuoteChar">
    <w:name w:val="Quote Char"/>
    <w:basedOn w:val="DefaultParagraphFont"/>
    <w:link w:val="Quote"/>
    <w:uiPriority w:val="99"/>
    <w:locked/>
    <w:rsid w:val="002A1040"/>
    <w:rPr>
      <w:rFonts w:cs="Times New Roman"/>
      <w:i/>
      <w:iCs/>
      <w:color w:val="000000"/>
    </w:rPr>
  </w:style>
  <w:style w:type="paragraph" w:styleId="Header">
    <w:name w:val="header"/>
    <w:basedOn w:val="Normal"/>
    <w:link w:val="HeaderChar"/>
    <w:uiPriority w:val="99"/>
    <w:rsid w:val="00805997"/>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805997"/>
    <w:rPr>
      <w:rFonts w:cs="Times New Roman"/>
    </w:rPr>
  </w:style>
  <w:style w:type="paragraph" w:styleId="Footer">
    <w:name w:val="footer"/>
    <w:basedOn w:val="Normal"/>
    <w:link w:val="FooterChar"/>
    <w:uiPriority w:val="99"/>
    <w:rsid w:val="00805997"/>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805997"/>
    <w:rPr>
      <w:rFonts w:cs="Times New Roman"/>
    </w:rPr>
  </w:style>
  <w:style w:type="paragraph" w:styleId="FootnoteText">
    <w:name w:val="footnote text"/>
    <w:basedOn w:val="Normal"/>
    <w:link w:val="FootnoteTextChar"/>
    <w:uiPriority w:val="99"/>
    <w:semiHidden/>
    <w:rsid w:val="002D3286"/>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2D3286"/>
    <w:rPr>
      <w:rFonts w:cs="Times New Roman"/>
      <w:sz w:val="20"/>
      <w:szCs w:val="20"/>
    </w:rPr>
  </w:style>
  <w:style w:type="character" w:styleId="FootnoteReference">
    <w:name w:val="footnote reference"/>
    <w:basedOn w:val="DefaultParagraphFont"/>
    <w:uiPriority w:val="99"/>
    <w:semiHidden/>
    <w:rsid w:val="002D3286"/>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728603258">
      <w:marLeft w:val="0"/>
      <w:marRight w:val="0"/>
      <w:marTop w:val="0"/>
      <w:marBottom w:val="0"/>
      <w:divBdr>
        <w:top w:val="none" w:sz="0" w:space="0" w:color="auto"/>
        <w:left w:val="none" w:sz="0" w:space="0" w:color="auto"/>
        <w:bottom w:val="none" w:sz="0" w:space="0" w:color="auto"/>
        <w:right w:val="none" w:sz="0" w:space="0" w:color="auto"/>
      </w:divBdr>
    </w:div>
    <w:div w:id="1728603259">
      <w:marLeft w:val="0"/>
      <w:marRight w:val="0"/>
      <w:marTop w:val="0"/>
      <w:marBottom w:val="0"/>
      <w:divBdr>
        <w:top w:val="none" w:sz="0" w:space="0" w:color="auto"/>
        <w:left w:val="none" w:sz="0" w:space="0" w:color="auto"/>
        <w:bottom w:val="none" w:sz="0" w:space="0" w:color="auto"/>
        <w:right w:val="none" w:sz="0" w:space="0" w:color="auto"/>
      </w:divBdr>
    </w:div>
    <w:div w:id="1728603260">
      <w:marLeft w:val="0"/>
      <w:marRight w:val="0"/>
      <w:marTop w:val="0"/>
      <w:marBottom w:val="0"/>
      <w:divBdr>
        <w:top w:val="none" w:sz="0" w:space="0" w:color="auto"/>
        <w:left w:val="none" w:sz="0" w:space="0" w:color="auto"/>
        <w:bottom w:val="none" w:sz="0" w:space="0" w:color="auto"/>
        <w:right w:val="none" w:sz="0" w:space="0" w:color="auto"/>
      </w:divBdr>
    </w:div>
    <w:div w:id="1728603261">
      <w:marLeft w:val="0"/>
      <w:marRight w:val="0"/>
      <w:marTop w:val="0"/>
      <w:marBottom w:val="0"/>
      <w:divBdr>
        <w:top w:val="none" w:sz="0" w:space="0" w:color="auto"/>
        <w:left w:val="none" w:sz="0" w:space="0" w:color="auto"/>
        <w:bottom w:val="none" w:sz="0" w:space="0" w:color="auto"/>
        <w:right w:val="none" w:sz="0" w:space="0" w:color="auto"/>
      </w:divBdr>
    </w:div>
    <w:div w:id="1728603262">
      <w:marLeft w:val="0"/>
      <w:marRight w:val="0"/>
      <w:marTop w:val="0"/>
      <w:marBottom w:val="0"/>
      <w:divBdr>
        <w:top w:val="none" w:sz="0" w:space="0" w:color="auto"/>
        <w:left w:val="none" w:sz="0" w:space="0" w:color="auto"/>
        <w:bottom w:val="none" w:sz="0" w:space="0" w:color="auto"/>
        <w:right w:val="none" w:sz="0" w:space="0" w:color="auto"/>
      </w:divBdr>
    </w:div>
    <w:div w:id="1728603263">
      <w:marLeft w:val="0"/>
      <w:marRight w:val="0"/>
      <w:marTop w:val="0"/>
      <w:marBottom w:val="0"/>
      <w:divBdr>
        <w:top w:val="none" w:sz="0" w:space="0" w:color="auto"/>
        <w:left w:val="none" w:sz="0" w:space="0" w:color="auto"/>
        <w:bottom w:val="none" w:sz="0" w:space="0" w:color="auto"/>
        <w:right w:val="none" w:sz="0" w:space="0" w:color="auto"/>
      </w:divBdr>
    </w:div>
    <w:div w:id="1728603264">
      <w:marLeft w:val="0"/>
      <w:marRight w:val="0"/>
      <w:marTop w:val="0"/>
      <w:marBottom w:val="0"/>
      <w:divBdr>
        <w:top w:val="none" w:sz="0" w:space="0" w:color="auto"/>
        <w:left w:val="none" w:sz="0" w:space="0" w:color="auto"/>
        <w:bottom w:val="none" w:sz="0" w:space="0" w:color="auto"/>
        <w:right w:val="none" w:sz="0" w:space="0" w:color="auto"/>
      </w:divBdr>
    </w:div>
    <w:div w:id="1728603265">
      <w:marLeft w:val="0"/>
      <w:marRight w:val="0"/>
      <w:marTop w:val="0"/>
      <w:marBottom w:val="0"/>
      <w:divBdr>
        <w:top w:val="none" w:sz="0" w:space="0" w:color="auto"/>
        <w:left w:val="none" w:sz="0" w:space="0" w:color="auto"/>
        <w:bottom w:val="none" w:sz="0" w:space="0" w:color="auto"/>
        <w:right w:val="none" w:sz="0" w:space="0" w:color="auto"/>
      </w:divBdr>
    </w:div>
    <w:div w:id="1728603266">
      <w:marLeft w:val="0"/>
      <w:marRight w:val="0"/>
      <w:marTop w:val="0"/>
      <w:marBottom w:val="0"/>
      <w:divBdr>
        <w:top w:val="none" w:sz="0" w:space="0" w:color="auto"/>
        <w:left w:val="none" w:sz="0" w:space="0" w:color="auto"/>
        <w:bottom w:val="none" w:sz="0" w:space="0" w:color="auto"/>
        <w:right w:val="none" w:sz="0" w:space="0" w:color="auto"/>
      </w:divBdr>
    </w:div>
    <w:div w:id="1728603267">
      <w:marLeft w:val="0"/>
      <w:marRight w:val="0"/>
      <w:marTop w:val="0"/>
      <w:marBottom w:val="0"/>
      <w:divBdr>
        <w:top w:val="none" w:sz="0" w:space="0" w:color="auto"/>
        <w:left w:val="none" w:sz="0" w:space="0" w:color="auto"/>
        <w:bottom w:val="none" w:sz="0" w:space="0" w:color="auto"/>
        <w:right w:val="none" w:sz="0" w:space="0" w:color="auto"/>
      </w:divBdr>
    </w:div>
    <w:div w:id="1728603268">
      <w:marLeft w:val="0"/>
      <w:marRight w:val="0"/>
      <w:marTop w:val="0"/>
      <w:marBottom w:val="0"/>
      <w:divBdr>
        <w:top w:val="none" w:sz="0" w:space="0" w:color="auto"/>
        <w:left w:val="none" w:sz="0" w:space="0" w:color="auto"/>
        <w:bottom w:val="none" w:sz="0" w:space="0" w:color="auto"/>
        <w:right w:val="none" w:sz="0" w:space="0" w:color="auto"/>
      </w:divBdr>
    </w:div>
    <w:div w:id="1728603269">
      <w:marLeft w:val="0"/>
      <w:marRight w:val="0"/>
      <w:marTop w:val="0"/>
      <w:marBottom w:val="0"/>
      <w:divBdr>
        <w:top w:val="none" w:sz="0" w:space="0" w:color="auto"/>
        <w:left w:val="none" w:sz="0" w:space="0" w:color="auto"/>
        <w:bottom w:val="none" w:sz="0" w:space="0" w:color="auto"/>
        <w:right w:val="none" w:sz="0" w:space="0" w:color="auto"/>
      </w:divBdr>
    </w:div>
    <w:div w:id="1728603270">
      <w:marLeft w:val="0"/>
      <w:marRight w:val="0"/>
      <w:marTop w:val="0"/>
      <w:marBottom w:val="0"/>
      <w:divBdr>
        <w:top w:val="none" w:sz="0" w:space="0" w:color="auto"/>
        <w:left w:val="none" w:sz="0" w:space="0" w:color="auto"/>
        <w:bottom w:val="none" w:sz="0" w:space="0" w:color="auto"/>
        <w:right w:val="none" w:sz="0" w:space="0" w:color="auto"/>
      </w:divBdr>
    </w:div>
    <w:div w:id="1728603271">
      <w:marLeft w:val="0"/>
      <w:marRight w:val="0"/>
      <w:marTop w:val="0"/>
      <w:marBottom w:val="0"/>
      <w:divBdr>
        <w:top w:val="none" w:sz="0" w:space="0" w:color="auto"/>
        <w:left w:val="none" w:sz="0" w:space="0" w:color="auto"/>
        <w:bottom w:val="none" w:sz="0" w:space="0" w:color="auto"/>
        <w:right w:val="none" w:sz="0" w:space="0" w:color="auto"/>
      </w:divBdr>
    </w:div>
    <w:div w:id="1728603272">
      <w:marLeft w:val="0"/>
      <w:marRight w:val="0"/>
      <w:marTop w:val="0"/>
      <w:marBottom w:val="0"/>
      <w:divBdr>
        <w:top w:val="none" w:sz="0" w:space="0" w:color="auto"/>
        <w:left w:val="none" w:sz="0" w:space="0" w:color="auto"/>
        <w:bottom w:val="none" w:sz="0" w:space="0" w:color="auto"/>
        <w:right w:val="none" w:sz="0" w:space="0" w:color="auto"/>
      </w:divBdr>
    </w:div>
    <w:div w:id="1728603273">
      <w:marLeft w:val="0"/>
      <w:marRight w:val="0"/>
      <w:marTop w:val="0"/>
      <w:marBottom w:val="0"/>
      <w:divBdr>
        <w:top w:val="none" w:sz="0" w:space="0" w:color="auto"/>
        <w:left w:val="none" w:sz="0" w:space="0" w:color="auto"/>
        <w:bottom w:val="none" w:sz="0" w:space="0" w:color="auto"/>
        <w:right w:val="none" w:sz="0" w:space="0" w:color="auto"/>
      </w:divBdr>
    </w:div>
    <w:div w:id="1728603274">
      <w:marLeft w:val="0"/>
      <w:marRight w:val="0"/>
      <w:marTop w:val="0"/>
      <w:marBottom w:val="0"/>
      <w:divBdr>
        <w:top w:val="none" w:sz="0" w:space="0" w:color="auto"/>
        <w:left w:val="none" w:sz="0" w:space="0" w:color="auto"/>
        <w:bottom w:val="none" w:sz="0" w:space="0" w:color="auto"/>
        <w:right w:val="none" w:sz="0" w:space="0" w:color="auto"/>
      </w:divBdr>
    </w:div>
    <w:div w:id="1728603275">
      <w:marLeft w:val="0"/>
      <w:marRight w:val="0"/>
      <w:marTop w:val="0"/>
      <w:marBottom w:val="0"/>
      <w:divBdr>
        <w:top w:val="none" w:sz="0" w:space="0" w:color="auto"/>
        <w:left w:val="none" w:sz="0" w:space="0" w:color="auto"/>
        <w:bottom w:val="none" w:sz="0" w:space="0" w:color="auto"/>
        <w:right w:val="none" w:sz="0" w:space="0" w:color="auto"/>
      </w:divBdr>
    </w:div>
    <w:div w:id="1728603276">
      <w:marLeft w:val="0"/>
      <w:marRight w:val="0"/>
      <w:marTop w:val="0"/>
      <w:marBottom w:val="0"/>
      <w:divBdr>
        <w:top w:val="none" w:sz="0" w:space="0" w:color="auto"/>
        <w:left w:val="none" w:sz="0" w:space="0" w:color="auto"/>
        <w:bottom w:val="none" w:sz="0" w:space="0" w:color="auto"/>
        <w:right w:val="none" w:sz="0" w:space="0" w:color="auto"/>
      </w:divBdr>
    </w:div>
    <w:div w:id="1728603277">
      <w:marLeft w:val="0"/>
      <w:marRight w:val="0"/>
      <w:marTop w:val="0"/>
      <w:marBottom w:val="0"/>
      <w:divBdr>
        <w:top w:val="none" w:sz="0" w:space="0" w:color="auto"/>
        <w:left w:val="none" w:sz="0" w:space="0" w:color="auto"/>
        <w:bottom w:val="none" w:sz="0" w:space="0" w:color="auto"/>
        <w:right w:val="none" w:sz="0" w:space="0" w:color="auto"/>
      </w:divBdr>
    </w:div>
    <w:div w:id="1728603278">
      <w:marLeft w:val="0"/>
      <w:marRight w:val="0"/>
      <w:marTop w:val="0"/>
      <w:marBottom w:val="0"/>
      <w:divBdr>
        <w:top w:val="none" w:sz="0" w:space="0" w:color="auto"/>
        <w:left w:val="none" w:sz="0" w:space="0" w:color="auto"/>
        <w:bottom w:val="none" w:sz="0" w:space="0" w:color="auto"/>
        <w:right w:val="none" w:sz="0" w:space="0" w:color="auto"/>
      </w:divBdr>
    </w:div>
    <w:div w:id="1728603279">
      <w:marLeft w:val="0"/>
      <w:marRight w:val="0"/>
      <w:marTop w:val="0"/>
      <w:marBottom w:val="0"/>
      <w:divBdr>
        <w:top w:val="none" w:sz="0" w:space="0" w:color="auto"/>
        <w:left w:val="none" w:sz="0" w:space="0" w:color="auto"/>
        <w:bottom w:val="none" w:sz="0" w:space="0" w:color="auto"/>
        <w:right w:val="none" w:sz="0" w:space="0" w:color="auto"/>
      </w:divBdr>
    </w:div>
    <w:div w:id="1728603280">
      <w:marLeft w:val="0"/>
      <w:marRight w:val="0"/>
      <w:marTop w:val="0"/>
      <w:marBottom w:val="0"/>
      <w:divBdr>
        <w:top w:val="none" w:sz="0" w:space="0" w:color="auto"/>
        <w:left w:val="none" w:sz="0" w:space="0" w:color="auto"/>
        <w:bottom w:val="none" w:sz="0" w:space="0" w:color="auto"/>
        <w:right w:val="none" w:sz="0" w:space="0" w:color="auto"/>
      </w:divBdr>
    </w:div>
    <w:div w:id="1728603281">
      <w:marLeft w:val="0"/>
      <w:marRight w:val="0"/>
      <w:marTop w:val="0"/>
      <w:marBottom w:val="0"/>
      <w:divBdr>
        <w:top w:val="none" w:sz="0" w:space="0" w:color="auto"/>
        <w:left w:val="none" w:sz="0" w:space="0" w:color="auto"/>
        <w:bottom w:val="none" w:sz="0" w:space="0" w:color="auto"/>
        <w:right w:val="none" w:sz="0" w:space="0" w:color="auto"/>
      </w:divBdr>
    </w:div>
    <w:div w:id="1728603282">
      <w:marLeft w:val="0"/>
      <w:marRight w:val="0"/>
      <w:marTop w:val="0"/>
      <w:marBottom w:val="0"/>
      <w:divBdr>
        <w:top w:val="none" w:sz="0" w:space="0" w:color="auto"/>
        <w:left w:val="none" w:sz="0" w:space="0" w:color="auto"/>
        <w:bottom w:val="none" w:sz="0" w:space="0" w:color="auto"/>
        <w:right w:val="none" w:sz="0" w:space="0" w:color="auto"/>
      </w:divBdr>
    </w:div>
    <w:div w:id="17286032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1-01-3745" TargetMode="External"/><Relationship Id="rId13" Type="http://schemas.openxmlformats.org/officeDocument/2006/relationships/hyperlink" Target="http://www.uradni-list.si/1/objava.jsp?sop=2013-01-394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uradni-list.si/1/objava.jsp?sop=2012-01-033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1-01-3745"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uradni-list.si/1/objava.jsp?sop=2013-01-3940" TargetMode="External"/><Relationship Id="rId4" Type="http://schemas.openxmlformats.org/officeDocument/2006/relationships/webSettings" Target="webSettings.xml"/><Relationship Id="rId9" Type="http://schemas.openxmlformats.org/officeDocument/2006/relationships/hyperlink" Target="http://www.uradni-list.si/1/objava.jsp?sop=2012-01-0332"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14</Pages>
  <Words>3956</Words>
  <Characters>22550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Knific</dc:creator>
  <cp:keywords/>
  <dc:description/>
  <cp:lastModifiedBy>Julka</cp:lastModifiedBy>
  <cp:revision>2</cp:revision>
  <cp:lastPrinted>2015-12-18T09:28:00Z</cp:lastPrinted>
  <dcterms:created xsi:type="dcterms:W3CDTF">2017-02-20T06:38:00Z</dcterms:created>
  <dcterms:modified xsi:type="dcterms:W3CDTF">2017-02-20T06:38:00Z</dcterms:modified>
</cp:coreProperties>
</file>